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0999" w14:textId="62BB6634" w:rsidR="003358E3" w:rsidRP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3E">
        <w:rPr>
          <w:rFonts w:ascii="Calibri" w:eastAsia="Times New Roman" w:hAnsi="Calibri" w:cs="Calibri"/>
          <w:color w:val="00A0C6"/>
          <w:szCs w:val="24"/>
        </w:rPr>
        <w:t>Vlastní bydlení stojí 1</w:t>
      </w:r>
      <w:r w:rsidR="003C4760">
        <w:rPr>
          <w:rFonts w:ascii="Calibri" w:eastAsia="Times New Roman" w:hAnsi="Calibri" w:cs="Calibri"/>
          <w:color w:val="00A0C6"/>
          <w:szCs w:val="24"/>
        </w:rPr>
        <w:t>3</w:t>
      </w:r>
      <w:r w:rsidR="00342F3E">
        <w:rPr>
          <w:rFonts w:ascii="Calibri" w:eastAsia="Times New Roman" w:hAnsi="Calibri" w:cs="Calibri"/>
          <w:color w:val="00A0C6"/>
          <w:szCs w:val="24"/>
        </w:rPr>
        <w:t xml:space="preserve">0 platů, Češi si na něj </w:t>
      </w:r>
      <w:r w:rsidR="00F31F4C">
        <w:rPr>
          <w:rFonts w:ascii="Calibri" w:eastAsia="Times New Roman" w:hAnsi="Calibri" w:cs="Calibri"/>
          <w:color w:val="00A0C6"/>
          <w:szCs w:val="24"/>
        </w:rPr>
        <w:t xml:space="preserve">musí </w:t>
      </w:r>
      <w:r w:rsidR="004C1882">
        <w:rPr>
          <w:rFonts w:ascii="Calibri" w:eastAsia="Times New Roman" w:hAnsi="Calibri" w:cs="Calibri"/>
          <w:color w:val="00A0C6"/>
          <w:szCs w:val="24"/>
        </w:rPr>
        <w:t>vzít</w:t>
      </w:r>
      <w:r w:rsidR="00415BB1">
        <w:rPr>
          <w:rFonts w:ascii="Calibri" w:eastAsia="Times New Roman" w:hAnsi="Calibri" w:cs="Calibri"/>
          <w:color w:val="00A0C6"/>
          <w:szCs w:val="24"/>
        </w:rPr>
        <w:t xml:space="preserve"> hypoték</w:t>
      </w:r>
      <w:r w:rsidR="004C1882">
        <w:rPr>
          <w:rFonts w:ascii="Calibri" w:eastAsia="Times New Roman" w:hAnsi="Calibri" w:cs="Calibri"/>
          <w:color w:val="00A0C6"/>
          <w:szCs w:val="24"/>
        </w:rPr>
        <w:t>u</w:t>
      </w:r>
    </w:p>
    <w:p w14:paraId="5C21198A" w14:textId="5DD973FD" w:rsidR="00735078" w:rsidRDefault="00735078" w:rsidP="00735078"/>
    <w:p w14:paraId="6E332BAD" w14:textId="78D7A512" w:rsidR="00634923" w:rsidRPr="00634923" w:rsidRDefault="008612D1" w:rsidP="00634923">
      <w:pPr>
        <w:jc w:val="both"/>
        <w:rPr>
          <w:rFonts w:asciiTheme="minorHAnsi" w:hAnsiTheme="minorHAnsi" w:cstheme="minorHAnsi"/>
          <w:b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 xml:space="preserve">V Praze dne </w:t>
      </w:r>
      <w:r w:rsidR="007A6CF2">
        <w:rPr>
          <w:rFonts w:asciiTheme="minorHAnsi" w:hAnsiTheme="minorHAnsi" w:cstheme="minorHAnsi"/>
          <w:i/>
          <w:sz w:val="24"/>
        </w:rPr>
        <w:t>20</w:t>
      </w:r>
      <w:r w:rsidR="00BD02A6" w:rsidRPr="00334ED2">
        <w:rPr>
          <w:rFonts w:asciiTheme="minorHAnsi" w:hAnsiTheme="minorHAnsi" w:cstheme="minorHAnsi"/>
          <w:i/>
          <w:sz w:val="24"/>
        </w:rPr>
        <w:t xml:space="preserve">. </w:t>
      </w:r>
      <w:r w:rsidR="003C75CA">
        <w:rPr>
          <w:rFonts w:asciiTheme="minorHAnsi" w:hAnsiTheme="minorHAnsi" w:cstheme="minorHAnsi"/>
          <w:i/>
          <w:sz w:val="24"/>
        </w:rPr>
        <w:t>července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202</w:t>
      </w:r>
      <w:r w:rsidR="00634923">
        <w:rPr>
          <w:rFonts w:asciiTheme="minorHAnsi" w:hAnsiTheme="minorHAnsi" w:cstheme="minorHAnsi"/>
          <w:i/>
          <w:sz w:val="24"/>
        </w:rPr>
        <w:t>1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</w:t>
      </w:r>
      <w:r w:rsidR="00A0379F">
        <w:rPr>
          <w:rFonts w:asciiTheme="minorHAnsi" w:hAnsiTheme="minorHAnsi" w:cstheme="minorHAnsi"/>
          <w:b/>
          <w:sz w:val="24"/>
        </w:rPr>
        <w:t>Podl</w:t>
      </w:r>
      <w:bookmarkStart w:id="0" w:name="_GoBack"/>
      <w:bookmarkEnd w:id="0"/>
      <w:r w:rsidR="00A0379F">
        <w:rPr>
          <w:rFonts w:asciiTheme="minorHAnsi" w:hAnsiTheme="minorHAnsi" w:cstheme="minorHAnsi"/>
          <w:b/>
          <w:sz w:val="24"/>
        </w:rPr>
        <w:t xml:space="preserve">e aktuální analýzy Modré pyramidy </w:t>
      </w:r>
      <w:r w:rsidR="00D44223">
        <w:rPr>
          <w:rFonts w:asciiTheme="minorHAnsi" w:hAnsiTheme="minorHAnsi" w:cstheme="minorHAnsi"/>
          <w:b/>
          <w:sz w:val="24"/>
        </w:rPr>
        <w:t xml:space="preserve">našetří </w:t>
      </w:r>
      <w:r w:rsidR="00A0379F">
        <w:rPr>
          <w:rFonts w:asciiTheme="minorHAnsi" w:hAnsiTheme="minorHAnsi" w:cstheme="minorHAnsi"/>
          <w:b/>
          <w:sz w:val="24"/>
        </w:rPr>
        <w:t>Č</w:t>
      </w:r>
      <w:r w:rsidR="00506C8E">
        <w:rPr>
          <w:rFonts w:asciiTheme="minorHAnsi" w:hAnsiTheme="minorHAnsi" w:cstheme="minorHAnsi"/>
          <w:b/>
          <w:sz w:val="24"/>
        </w:rPr>
        <w:t>eši</w:t>
      </w:r>
      <w:r w:rsidR="00153B0C">
        <w:rPr>
          <w:rFonts w:asciiTheme="minorHAnsi" w:hAnsiTheme="minorHAnsi" w:cstheme="minorHAnsi"/>
          <w:b/>
          <w:sz w:val="24"/>
        </w:rPr>
        <w:t xml:space="preserve"> </w:t>
      </w:r>
      <w:r w:rsidR="00A0379F">
        <w:rPr>
          <w:rFonts w:asciiTheme="minorHAnsi" w:hAnsiTheme="minorHAnsi" w:cstheme="minorHAnsi"/>
          <w:b/>
          <w:sz w:val="24"/>
        </w:rPr>
        <w:t xml:space="preserve">na vlastní bydlení </w:t>
      </w:r>
      <w:r w:rsidR="00153B0C">
        <w:rPr>
          <w:rFonts w:asciiTheme="minorHAnsi" w:hAnsiTheme="minorHAnsi" w:cstheme="minorHAnsi"/>
          <w:b/>
          <w:sz w:val="24"/>
        </w:rPr>
        <w:t xml:space="preserve">z průměrného platu za </w:t>
      </w:r>
      <w:r w:rsidR="00D25C79">
        <w:rPr>
          <w:rFonts w:asciiTheme="minorHAnsi" w:hAnsiTheme="minorHAnsi" w:cstheme="minorHAnsi"/>
          <w:b/>
          <w:sz w:val="24"/>
        </w:rPr>
        <w:t>5</w:t>
      </w:r>
      <w:r w:rsidR="00555779">
        <w:rPr>
          <w:rFonts w:asciiTheme="minorHAnsi" w:hAnsiTheme="minorHAnsi" w:cstheme="minorHAnsi"/>
          <w:b/>
          <w:sz w:val="24"/>
        </w:rPr>
        <w:t>6</w:t>
      </w:r>
      <w:r w:rsidR="00153B0C">
        <w:rPr>
          <w:rFonts w:asciiTheme="minorHAnsi" w:hAnsiTheme="minorHAnsi" w:cstheme="minorHAnsi"/>
          <w:b/>
          <w:sz w:val="24"/>
        </w:rPr>
        <w:t xml:space="preserve"> let. </w:t>
      </w:r>
      <w:r w:rsidR="00506C8E">
        <w:rPr>
          <w:rFonts w:asciiTheme="minorHAnsi" w:hAnsiTheme="minorHAnsi" w:cstheme="minorHAnsi"/>
          <w:b/>
          <w:sz w:val="24"/>
        </w:rPr>
        <w:t xml:space="preserve">Ceny nemovitostí navíc rostou rychleji než </w:t>
      </w:r>
      <w:r w:rsidR="005A5917">
        <w:rPr>
          <w:rFonts w:asciiTheme="minorHAnsi" w:hAnsiTheme="minorHAnsi" w:cstheme="minorHAnsi"/>
          <w:b/>
          <w:sz w:val="24"/>
        </w:rPr>
        <w:t>příjmy</w:t>
      </w:r>
      <w:r w:rsidR="008D08D2">
        <w:rPr>
          <w:rFonts w:asciiTheme="minorHAnsi" w:hAnsiTheme="minorHAnsi" w:cstheme="minorHAnsi"/>
          <w:b/>
          <w:sz w:val="24"/>
        </w:rPr>
        <w:t>, d</w:t>
      </w:r>
      <w:r w:rsidR="00E3652B">
        <w:rPr>
          <w:rFonts w:asciiTheme="minorHAnsi" w:hAnsiTheme="minorHAnsi" w:cstheme="minorHAnsi"/>
          <w:b/>
          <w:sz w:val="24"/>
        </w:rPr>
        <w:t>oba s</w:t>
      </w:r>
      <w:r w:rsidR="00842780">
        <w:rPr>
          <w:rFonts w:asciiTheme="minorHAnsi" w:hAnsiTheme="minorHAnsi" w:cstheme="minorHAnsi"/>
          <w:b/>
          <w:sz w:val="24"/>
        </w:rPr>
        <w:t xml:space="preserve">poření na byt </w:t>
      </w:r>
      <w:r w:rsidR="00E3652B">
        <w:rPr>
          <w:rFonts w:asciiTheme="minorHAnsi" w:hAnsiTheme="minorHAnsi" w:cstheme="minorHAnsi"/>
          <w:b/>
          <w:sz w:val="24"/>
        </w:rPr>
        <w:t xml:space="preserve">se tak </w:t>
      </w:r>
      <w:r w:rsidR="00842780">
        <w:rPr>
          <w:rFonts w:asciiTheme="minorHAnsi" w:hAnsiTheme="minorHAnsi" w:cstheme="minorHAnsi"/>
          <w:b/>
          <w:sz w:val="24"/>
        </w:rPr>
        <w:t xml:space="preserve">bude </w:t>
      </w:r>
      <w:r w:rsidR="00FF09E3">
        <w:rPr>
          <w:rFonts w:asciiTheme="minorHAnsi" w:hAnsiTheme="minorHAnsi" w:cstheme="minorHAnsi"/>
          <w:b/>
          <w:sz w:val="24"/>
        </w:rPr>
        <w:t>dále</w:t>
      </w:r>
      <w:r w:rsidR="00842780">
        <w:rPr>
          <w:rFonts w:asciiTheme="minorHAnsi" w:hAnsiTheme="minorHAnsi" w:cstheme="minorHAnsi"/>
          <w:b/>
          <w:sz w:val="24"/>
        </w:rPr>
        <w:t xml:space="preserve"> prodlužovat.</w:t>
      </w:r>
      <w:r w:rsidR="002168C4">
        <w:rPr>
          <w:rFonts w:asciiTheme="minorHAnsi" w:hAnsiTheme="minorHAnsi" w:cstheme="minorHAnsi"/>
          <w:b/>
          <w:sz w:val="24"/>
        </w:rPr>
        <w:t xml:space="preserve"> Řešením je </w:t>
      </w:r>
      <w:r w:rsidR="00510A84">
        <w:rPr>
          <w:rFonts w:asciiTheme="minorHAnsi" w:hAnsiTheme="minorHAnsi" w:cstheme="minorHAnsi"/>
          <w:b/>
          <w:sz w:val="24"/>
        </w:rPr>
        <w:t xml:space="preserve">pro </w:t>
      </w:r>
      <w:r w:rsidR="002168C4">
        <w:rPr>
          <w:rFonts w:asciiTheme="minorHAnsi" w:hAnsiTheme="minorHAnsi" w:cstheme="minorHAnsi"/>
          <w:b/>
          <w:sz w:val="24"/>
        </w:rPr>
        <w:t>většinu</w:t>
      </w:r>
      <w:r w:rsidR="00287EE2">
        <w:rPr>
          <w:rFonts w:asciiTheme="minorHAnsi" w:hAnsiTheme="minorHAnsi" w:cstheme="minorHAnsi"/>
          <w:b/>
          <w:sz w:val="24"/>
        </w:rPr>
        <w:t xml:space="preserve"> Čech</w:t>
      </w:r>
      <w:r w:rsidR="00C53334">
        <w:rPr>
          <w:rFonts w:asciiTheme="minorHAnsi" w:hAnsiTheme="minorHAnsi" w:cstheme="minorHAnsi"/>
          <w:b/>
          <w:sz w:val="24"/>
        </w:rPr>
        <w:t>ů</w:t>
      </w:r>
      <w:r w:rsidR="002168C4">
        <w:rPr>
          <w:rFonts w:asciiTheme="minorHAnsi" w:hAnsiTheme="minorHAnsi" w:cstheme="minorHAnsi"/>
          <w:b/>
          <w:sz w:val="24"/>
        </w:rPr>
        <w:t xml:space="preserve"> </w:t>
      </w:r>
      <w:r w:rsidR="004538FE">
        <w:rPr>
          <w:rFonts w:asciiTheme="minorHAnsi" w:hAnsiTheme="minorHAnsi" w:cstheme="minorHAnsi"/>
          <w:b/>
          <w:sz w:val="24"/>
        </w:rPr>
        <w:t>hypotéka</w:t>
      </w:r>
      <w:r w:rsidR="00782701">
        <w:rPr>
          <w:rFonts w:asciiTheme="minorHAnsi" w:hAnsiTheme="minorHAnsi" w:cstheme="minorHAnsi"/>
          <w:b/>
          <w:sz w:val="24"/>
        </w:rPr>
        <w:t>,</w:t>
      </w:r>
      <w:r w:rsidR="002168C4">
        <w:rPr>
          <w:rFonts w:asciiTheme="minorHAnsi" w:hAnsiTheme="minorHAnsi" w:cstheme="minorHAnsi"/>
          <w:b/>
          <w:sz w:val="24"/>
        </w:rPr>
        <w:t xml:space="preserve"> </w:t>
      </w:r>
      <w:r w:rsidR="00601039">
        <w:rPr>
          <w:rFonts w:asciiTheme="minorHAnsi" w:hAnsiTheme="minorHAnsi" w:cstheme="minorHAnsi"/>
          <w:b/>
          <w:sz w:val="24"/>
        </w:rPr>
        <w:t xml:space="preserve">se </w:t>
      </w:r>
      <w:r w:rsidR="004538FE">
        <w:rPr>
          <w:rFonts w:asciiTheme="minorHAnsi" w:hAnsiTheme="minorHAnsi" w:cstheme="minorHAnsi"/>
          <w:b/>
          <w:sz w:val="24"/>
        </w:rPr>
        <w:t xml:space="preserve">kterou </w:t>
      </w:r>
      <w:r w:rsidR="00601039">
        <w:rPr>
          <w:rFonts w:asciiTheme="minorHAnsi" w:hAnsiTheme="minorHAnsi" w:cstheme="minorHAnsi"/>
          <w:b/>
          <w:sz w:val="24"/>
        </w:rPr>
        <w:t xml:space="preserve">mohou mít vlastní bydlení v průměru za </w:t>
      </w:r>
      <w:r w:rsidR="00A954A6">
        <w:rPr>
          <w:rFonts w:asciiTheme="minorHAnsi" w:hAnsiTheme="minorHAnsi" w:cstheme="minorHAnsi"/>
          <w:b/>
          <w:sz w:val="24"/>
        </w:rPr>
        <w:t xml:space="preserve">13 </w:t>
      </w:r>
      <w:r w:rsidR="005A2FC6">
        <w:rPr>
          <w:rFonts w:asciiTheme="minorHAnsi" w:hAnsiTheme="minorHAnsi" w:cstheme="minorHAnsi"/>
          <w:b/>
          <w:sz w:val="24"/>
        </w:rPr>
        <w:t xml:space="preserve">ročních </w:t>
      </w:r>
      <w:r w:rsidR="00ED3A65">
        <w:rPr>
          <w:rFonts w:asciiTheme="minorHAnsi" w:hAnsiTheme="minorHAnsi" w:cstheme="minorHAnsi"/>
          <w:b/>
          <w:sz w:val="24"/>
        </w:rPr>
        <w:t>platů.</w:t>
      </w:r>
      <w:r w:rsidR="00382765">
        <w:rPr>
          <w:rFonts w:asciiTheme="minorHAnsi" w:hAnsiTheme="minorHAnsi" w:cstheme="minorHAnsi"/>
          <w:b/>
          <w:sz w:val="24"/>
        </w:rPr>
        <w:t xml:space="preserve"> </w:t>
      </w:r>
      <w:r w:rsidR="004538FE">
        <w:rPr>
          <w:rFonts w:asciiTheme="minorHAnsi" w:hAnsiTheme="minorHAnsi" w:cstheme="minorHAnsi"/>
          <w:b/>
          <w:sz w:val="24"/>
        </w:rPr>
        <w:t xml:space="preserve">Její </w:t>
      </w:r>
      <w:r w:rsidR="00D15C51">
        <w:rPr>
          <w:rFonts w:asciiTheme="minorHAnsi" w:hAnsiTheme="minorHAnsi" w:cstheme="minorHAnsi"/>
          <w:b/>
          <w:sz w:val="24"/>
        </w:rPr>
        <w:t xml:space="preserve">průměrná </w:t>
      </w:r>
      <w:r w:rsidR="00A954A6">
        <w:rPr>
          <w:rFonts w:asciiTheme="minorHAnsi" w:hAnsiTheme="minorHAnsi" w:cstheme="minorHAnsi"/>
          <w:b/>
          <w:sz w:val="24"/>
        </w:rPr>
        <w:t>splátka pak</w:t>
      </w:r>
      <w:r w:rsidR="007E54B1">
        <w:rPr>
          <w:rFonts w:asciiTheme="minorHAnsi" w:hAnsiTheme="minorHAnsi" w:cstheme="minorHAnsi"/>
          <w:b/>
          <w:sz w:val="24"/>
        </w:rPr>
        <w:t xml:space="preserve"> dosáhne </w:t>
      </w:r>
      <w:r w:rsidR="00EE1280">
        <w:rPr>
          <w:rFonts w:asciiTheme="minorHAnsi" w:hAnsiTheme="minorHAnsi" w:cstheme="minorHAnsi"/>
          <w:b/>
          <w:sz w:val="24"/>
        </w:rPr>
        <w:t>17,5 tisíce korun.</w:t>
      </w:r>
    </w:p>
    <w:p w14:paraId="0BC02258" w14:textId="64F23A5F" w:rsidR="00B4544D" w:rsidRDefault="00B4544D" w:rsidP="00C326A4">
      <w:pPr>
        <w:jc w:val="both"/>
        <w:rPr>
          <w:rFonts w:asciiTheme="minorHAnsi" w:hAnsiTheme="minorHAnsi" w:cstheme="minorHAnsi"/>
          <w:b/>
          <w:sz w:val="24"/>
        </w:rPr>
      </w:pPr>
    </w:p>
    <w:p w14:paraId="5DE7DAFD" w14:textId="64BD1280" w:rsidR="00CD45B4" w:rsidRDefault="00D6568B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Ceny nemovitostí rok od roku rostou. A v České republice rychleji než v ostatních zemích Evropské unie – od roku 2015 byty u nás podražily o 5</w:t>
      </w:r>
      <w:r w:rsidR="00E42A4A">
        <w:rPr>
          <w:rFonts w:asciiTheme="minorHAnsi" w:eastAsia="Times New Roman" w:hAnsiTheme="minorHAnsi" w:cstheme="minorHAnsi"/>
          <w:sz w:val="24"/>
          <w:szCs w:val="20"/>
        </w:rPr>
        <w:t>9,5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%, v EU o 2</w:t>
      </w:r>
      <w:r w:rsidR="00E42A4A">
        <w:rPr>
          <w:rFonts w:asciiTheme="minorHAnsi" w:eastAsia="Times New Roman" w:hAnsiTheme="minorHAnsi" w:cstheme="minorHAnsi"/>
          <w:sz w:val="24"/>
          <w:szCs w:val="20"/>
        </w:rPr>
        <w:t>9,4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%</w:t>
      </w:r>
      <w:r w:rsidR="007815D9"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  <w:r w:rsidR="00444230">
        <w:rPr>
          <w:rFonts w:asciiTheme="minorHAnsi" w:eastAsia="Times New Roman" w:hAnsiTheme="minorHAnsi" w:cstheme="minorHAnsi"/>
          <w:sz w:val="24"/>
          <w:szCs w:val="20"/>
        </w:rPr>
        <w:t xml:space="preserve">České statistiky pak hovoří ještě o výraznějším zdražování – </w:t>
      </w:r>
      <w:r w:rsidR="007815D9">
        <w:rPr>
          <w:rFonts w:asciiTheme="minorHAnsi" w:eastAsia="Times New Roman" w:hAnsiTheme="minorHAnsi" w:cstheme="minorHAnsi"/>
          <w:sz w:val="24"/>
          <w:szCs w:val="20"/>
        </w:rPr>
        <w:t xml:space="preserve">zatímco na konci roku 2015 stál metr čtvereční nemovitosti </w:t>
      </w:r>
      <w:r w:rsidR="00B06DEB">
        <w:rPr>
          <w:rFonts w:asciiTheme="minorHAnsi" w:eastAsia="Times New Roman" w:hAnsiTheme="minorHAnsi" w:cstheme="minorHAnsi"/>
          <w:sz w:val="24"/>
          <w:szCs w:val="20"/>
        </w:rPr>
        <w:t xml:space="preserve">v průměru </w:t>
      </w:r>
      <w:r w:rsidR="007815D9" w:rsidRPr="007815D9">
        <w:rPr>
          <w:rFonts w:asciiTheme="minorHAnsi" w:eastAsia="Times New Roman" w:hAnsiTheme="minorHAnsi" w:cstheme="minorHAnsi"/>
          <w:sz w:val="24"/>
          <w:szCs w:val="20"/>
        </w:rPr>
        <w:t>41</w:t>
      </w:r>
      <w:r w:rsidR="007815D9">
        <w:rPr>
          <w:rFonts w:asciiTheme="minorHAnsi" w:eastAsia="Times New Roman" w:hAnsiTheme="minorHAnsi" w:cstheme="minorHAnsi"/>
          <w:sz w:val="24"/>
          <w:szCs w:val="20"/>
        </w:rPr>
        <w:t> </w:t>
      </w:r>
      <w:r w:rsidR="007815D9" w:rsidRPr="007815D9">
        <w:rPr>
          <w:rFonts w:asciiTheme="minorHAnsi" w:eastAsia="Times New Roman" w:hAnsiTheme="minorHAnsi" w:cstheme="minorHAnsi"/>
          <w:sz w:val="24"/>
          <w:szCs w:val="20"/>
        </w:rPr>
        <w:t>800</w:t>
      </w:r>
      <w:r w:rsidR="007815D9">
        <w:rPr>
          <w:rFonts w:asciiTheme="minorHAnsi" w:eastAsia="Times New Roman" w:hAnsiTheme="minorHAnsi" w:cstheme="minorHAnsi"/>
          <w:sz w:val="24"/>
          <w:szCs w:val="20"/>
        </w:rPr>
        <w:t xml:space="preserve"> Kč, loni to bylo již </w:t>
      </w:r>
      <w:r w:rsidR="00E43CBC">
        <w:rPr>
          <w:rFonts w:asciiTheme="minorHAnsi" w:eastAsia="Times New Roman" w:hAnsiTheme="minorHAnsi" w:cstheme="minorHAnsi"/>
          <w:sz w:val="24"/>
          <w:szCs w:val="20"/>
        </w:rPr>
        <w:t>73 800 Kč.</w:t>
      </w:r>
      <w:r w:rsidR="003E47F4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3E47F4">
        <w:rPr>
          <w:rFonts w:asciiTheme="minorHAnsi" w:eastAsia="Times New Roman" w:hAnsiTheme="minorHAnsi" w:cstheme="minorHAnsi"/>
          <w:i/>
          <w:iCs/>
          <w:sz w:val="24"/>
          <w:szCs w:val="20"/>
        </w:rPr>
        <w:t>„Nemovitosti jsou drahé, dokonce předražené</w:t>
      </w:r>
      <w:r w:rsidR="008A4611">
        <w:rPr>
          <w:rFonts w:asciiTheme="minorHAnsi" w:eastAsia="Times New Roman" w:hAnsiTheme="minorHAnsi" w:cstheme="minorHAnsi"/>
          <w:i/>
          <w:iCs/>
          <w:sz w:val="24"/>
          <w:szCs w:val="20"/>
        </w:rPr>
        <w:t>.</w:t>
      </w:r>
      <w:r w:rsidR="003E47F4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Podle odhadů asi o </w:t>
      </w:r>
      <w:r w:rsidR="00B210BB">
        <w:rPr>
          <w:rFonts w:asciiTheme="minorHAnsi" w:eastAsia="Times New Roman" w:hAnsiTheme="minorHAnsi" w:cstheme="minorHAnsi"/>
          <w:i/>
          <w:iCs/>
          <w:sz w:val="24"/>
          <w:szCs w:val="20"/>
        </w:rPr>
        <w:t>15</w:t>
      </w:r>
      <w:r w:rsidR="007A684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="00B210B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% až o </w:t>
      </w:r>
      <w:r w:rsidR="003E47F4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čtvrtinu. A </w:t>
      </w:r>
      <w:r w:rsidR="008A4611">
        <w:rPr>
          <w:rFonts w:asciiTheme="minorHAnsi" w:eastAsia="Times New Roman" w:hAnsiTheme="minorHAnsi" w:cstheme="minorHAnsi"/>
          <w:i/>
          <w:iCs/>
          <w:sz w:val="24"/>
          <w:szCs w:val="20"/>
        </w:rPr>
        <w:t>nepředpokládám, že se bude situace výrazně zlepšovat</w:t>
      </w:r>
      <w:r w:rsidR="003E47F4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. Nejen, že je </w:t>
      </w:r>
      <w:r w:rsidR="0029199D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na trhu </w:t>
      </w:r>
      <w:r w:rsidR="003E47F4">
        <w:rPr>
          <w:rFonts w:asciiTheme="minorHAnsi" w:eastAsia="Times New Roman" w:hAnsiTheme="minorHAnsi" w:cstheme="minorHAnsi"/>
          <w:i/>
          <w:iCs/>
          <w:sz w:val="24"/>
          <w:szCs w:val="20"/>
        </w:rPr>
        <w:t>dlouhodobý nedostatek volných bytů a domů</w:t>
      </w:r>
      <w:r w:rsidR="00832A8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, jejich cenu navyšují </w:t>
      </w:r>
      <w:r w:rsidR="007C74D9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koupě </w:t>
      </w:r>
      <w:r w:rsidR="00B210B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bytů </w:t>
      </w:r>
      <w:r w:rsidR="007C74D9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na investice </w:t>
      </w:r>
      <w:r w:rsidR="002143CB">
        <w:rPr>
          <w:rFonts w:asciiTheme="minorHAnsi" w:eastAsia="Times New Roman" w:hAnsiTheme="minorHAnsi" w:cstheme="minorHAnsi"/>
          <w:i/>
          <w:iCs/>
          <w:sz w:val="24"/>
          <w:szCs w:val="20"/>
        </w:rPr>
        <w:t>i</w:t>
      </w:r>
      <w:r w:rsidR="00832A8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mno</w:t>
      </w:r>
      <w:r w:rsidR="00900598">
        <w:rPr>
          <w:rFonts w:asciiTheme="minorHAnsi" w:eastAsia="Times New Roman" w:hAnsiTheme="minorHAnsi" w:cstheme="minorHAnsi"/>
          <w:i/>
          <w:iCs/>
          <w:sz w:val="24"/>
          <w:szCs w:val="20"/>
        </w:rPr>
        <w:t>hé aktivity prodejců</w:t>
      </w:r>
      <w:r w:rsidR="00832A86">
        <w:rPr>
          <w:rFonts w:asciiTheme="minorHAnsi" w:eastAsia="Times New Roman" w:hAnsiTheme="minorHAnsi" w:cstheme="minorHAnsi"/>
          <w:i/>
          <w:iCs/>
          <w:sz w:val="24"/>
          <w:szCs w:val="20"/>
        </w:rPr>
        <w:t>,“</w:t>
      </w:r>
      <w:r w:rsidR="00832A86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B64447">
        <w:rPr>
          <w:rFonts w:asciiTheme="minorHAnsi" w:eastAsia="Times New Roman" w:hAnsiTheme="minorHAnsi" w:cstheme="minorHAnsi"/>
          <w:sz w:val="24"/>
          <w:szCs w:val="20"/>
        </w:rPr>
        <w:t>uvádí Pavel Jirák, ředitel Modré pyramidy.</w:t>
      </w:r>
      <w:r w:rsidR="0029199D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</w:p>
    <w:p w14:paraId="48804EB8" w14:textId="68BAD347" w:rsidR="00B64447" w:rsidRDefault="00B64447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62484B38" w14:textId="0B672FDA" w:rsidR="00BF4980" w:rsidRPr="000C1F08" w:rsidRDefault="00DE5802" w:rsidP="00CD45B4">
      <w:pPr>
        <w:jc w:val="both"/>
        <w:rPr>
          <w:rFonts w:asciiTheme="minorHAnsi" w:eastAsia="Times New Roman" w:hAnsiTheme="minorHAnsi" w:cstheme="minorHAnsi"/>
          <w:b/>
          <w:bCs/>
          <w:sz w:val="24"/>
          <w:szCs w:val="20"/>
        </w:rPr>
      </w:pPr>
      <w:r w:rsidRPr="000C1F08">
        <w:rPr>
          <w:rFonts w:asciiTheme="minorHAnsi" w:eastAsia="Times New Roman" w:hAnsiTheme="minorHAnsi" w:cstheme="minorHAnsi"/>
          <w:b/>
          <w:bCs/>
          <w:sz w:val="24"/>
          <w:szCs w:val="20"/>
        </w:rPr>
        <w:t xml:space="preserve">Pražan dá za byt v Praze 147 platů, v Ústí místní jen </w:t>
      </w:r>
      <w:r w:rsidR="00073539" w:rsidRPr="000C1F08">
        <w:rPr>
          <w:rFonts w:asciiTheme="minorHAnsi" w:eastAsia="Times New Roman" w:hAnsiTheme="minorHAnsi" w:cstheme="minorHAnsi"/>
          <w:b/>
          <w:bCs/>
          <w:sz w:val="24"/>
          <w:szCs w:val="20"/>
        </w:rPr>
        <w:t>46</w:t>
      </w:r>
    </w:p>
    <w:p w14:paraId="0CD9B14A" w14:textId="02A278EE" w:rsidR="0030062B" w:rsidRPr="008E17D2" w:rsidRDefault="008C5CC8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 xml:space="preserve">Podle </w:t>
      </w:r>
      <w:r w:rsidR="00D866F6">
        <w:rPr>
          <w:rFonts w:asciiTheme="minorHAnsi" w:eastAsia="Times New Roman" w:hAnsiTheme="minorHAnsi" w:cstheme="minorHAnsi"/>
          <w:sz w:val="24"/>
          <w:szCs w:val="20"/>
        </w:rPr>
        <w:t>kvartální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analýzy Modré pyramidy tak Češi na vlastní bydlení </w:t>
      </w:r>
      <w:r w:rsidR="00543C1A">
        <w:rPr>
          <w:rFonts w:asciiTheme="minorHAnsi" w:eastAsia="Times New Roman" w:hAnsiTheme="minorHAnsi" w:cstheme="minorHAnsi"/>
          <w:sz w:val="24"/>
          <w:szCs w:val="20"/>
        </w:rPr>
        <w:t xml:space="preserve">z vlastního </w:t>
      </w:r>
      <w:r>
        <w:rPr>
          <w:rFonts w:asciiTheme="minorHAnsi" w:eastAsia="Times New Roman" w:hAnsiTheme="minorHAnsi" w:cstheme="minorHAnsi"/>
          <w:sz w:val="24"/>
          <w:szCs w:val="20"/>
        </w:rPr>
        <w:t>nedosáhnou. Potřebují na něj totiž v průměru 130,7 průměrných platů.</w:t>
      </w:r>
      <w:r w:rsidR="00E11D8A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F97008">
        <w:rPr>
          <w:rFonts w:asciiTheme="minorHAnsi" w:eastAsia="Times New Roman" w:hAnsiTheme="minorHAnsi" w:cstheme="minorHAnsi"/>
          <w:sz w:val="24"/>
          <w:szCs w:val="20"/>
        </w:rPr>
        <w:t>A situace se zhoršuje, n</w:t>
      </w:r>
      <w:r w:rsidR="0030062B">
        <w:rPr>
          <w:rFonts w:asciiTheme="minorHAnsi" w:eastAsia="Times New Roman" w:hAnsiTheme="minorHAnsi" w:cstheme="minorHAnsi"/>
          <w:sz w:val="24"/>
          <w:szCs w:val="20"/>
        </w:rPr>
        <w:t xml:space="preserve">a konci roku 2019 to </w:t>
      </w:r>
      <w:r w:rsidR="000C771B">
        <w:rPr>
          <w:rFonts w:asciiTheme="minorHAnsi" w:eastAsia="Times New Roman" w:hAnsiTheme="minorHAnsi" w:cstheme="minorHAnsi"/>
          <w:sz w:val="24"/>
          <w:szCs w:val="20"/>
        </w:rPr>
        <w:t>totiž</w:t>
      </w:r>
      <w:r w:rsidR="0030062B">
        <w:rPr>
          <w:rFonts w:asciiTheme="minorHAnsi" w:eastAsia="Times New Roman" w:hAnsiTheme="minorHAnsi" w:cstheme="minorHAnsi"/>
          <w:sz w:val="24"/>
          <w:szCs w:val="20"/>
        </w:rPr>
        <w:t xml:space="preserve"> bylo 118,6 platu.</w:t>
      </w:r>
      <w:r w:rsidR="00D76D0D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7C3C42">
        <w:rPr>
          <w:rFonts w:asciiTheme="minorHAnsi" w:eastAsia="Times New Roman" w:hAnsiTheme="minorHAnsi" w:cstheme="minorHAnsi"/>
          <w:i/>
          <w:iCs/>
          <w:sz w:val="24"/>
          <w:szCs w:val="20"/>
        </w:rPr>
        <w:t>„Ceny nemovitostí nerostou stejně rychle jako mzdy.</w:t>
      </w:r>
      <w:r w:rsidR="008E17D2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Nůžky mezi těmi, kdo si byt mohou koupit, a kdo ne, se tak neustále rozevírají,“</w:t>
      </w:r>
      <w:r w:rsidR="008E17D2">
        <w:rPr>
          <w:rFonts w:asciiTheme="minorHAnsi" w:eastAsia="Times New Roman" w:hAnsiTheme="minorHAnsi" w:cstheme="minorHAnsi"/>
          <w:sz w:val="24"/>
          <w:szCs w:val="20"/>
        </w:rPr>
        <w:t xml:space="preserve"> doplňuje </w:t>
      </w:r>
      <w:r w:rsidR="000353D4">
        <w:rPr>
          <w:rFonts w:asciiTheme="minorHAnsi" w:eastAsia="Times New Roman" w:hAnsiTheme="minorHAnsi" w:cstheme="minorHAnsi"/>
          <w:sz w:val="24"/>
          <w:szCs w:val="20"/>
        </w:rPr>
        <w:t>Pavel Jirák</w:t>
      </w:r>
      <w:r w:rsidR="008E17D2">
        <w:rPr>
          <w:rFonts w:asciiTheme="minorHAnsi" w:eastAsia="Times New Roman" w:hAnsiTheme="minorHAnsi" w:cstheme="minorHAnsi"/>
          <w:sz w:val="24"/>
          <w:szCs w:val="20"/>
        </w:rPr>
        <w:t>.</w:t>
      </w:r>
      <w:r w:rsidR="00D71C25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E33543">
        <w:rPr>
          <w:rFonts w:asciiTheme="minorHAnsi" w:eastAsia="Times New Roman" w:hAnsiTheme="minorHAnsi" w:cstheme="minorHAnsi"/>
          <w:sz w:val="24"/>
          <w:szCs w:val="20"/>
        </w:rPr>
        <w:t>Průměrná cena za metr čtvereční nemovitosti meziročně vzrostla o 16 %, průměrn</w:t>
      </w:r>
      <w:r w:rsidR="00E902E2">
        <w:rPr>
          <w:rFonts w:asciiTheme="minorHAnsi" w:eastAsia="Times New Roman" w:hAnsiTheme="minorHAnsi" w:cstheme="minorHAnsi"/>
          <w:sz w:val="24"/>
          <w:szCs w:val="20"/>
        </w:rPr>
        <w:t>á</w:t>
      </w:r>
      <w:r w:rsidR="00E33543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EC37E6">
        <w:rPr>
          <w:rFonts w:asciiTheme="minorHAnsi" w:eastAsia="Times New Roman" w:hAnsiTheme="minorHAnsi" w:cstheme="minorHAnsi"/>
          <w:sz w:val="24"/>
          <w:szCs w:val="20"/>
        </w:rPr>
        <w:t>mzd</w:t>
      </w:r>
      <w:r w:rsidR="00E902E2">
        <w:rPr>
          <w:rFonts w:asciiTheme="minorHAnsi" w:eastAsia="Times New Roman" w:hAnsiTheme="minorHAnsi" w:cstheme="minorHAnsi"/>
          <w:sz w:val="24"/>
          <w:szCs w:val="20"/>
        </w:rPr>
        <w:t>a</w:t>
      </w:r>
      <w:r w:rsidR="00E33543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727803">
        <w:rPr>
          <w:rFonts w:asciiTheme="minorHAnsi" w:eastAsia="Times New Roman" w:hAnsiTheme="minorHAnsi" w:cstheme="minorHAnsi"/>
          <w:sz w:val="24"/>
          <w:szCs w:val="20"/>
        </w:rPr>
        <w:t xml:space="preserve">o </w:t>
      </w:r>
      <w:r w:rsidR="00B210BB">
        <w:rPr>
          <w:rFonts w:asciiTheme="minorHAnsi" w:eastAsia="Times New Roman" w:hAnsiTheme="minorHAnsi" w:cstheme="minorHAnsi"/>
          <w:sz w:val="24"/>
          <w:szCs w:val="20"/>
        </w:rPr>
        <w:t>7</w:t>
      </w:r>
      <w:r w:rsidR="007338DC">
        <w:rPr>
          <w:rFonts w:asciiTheme="minorHAnsi" w:eastAsia="Times New Roman" w:hAnsiTheme="minorHAnsi" w:cstheme="minorHAnsi"/>
          <w:sz w:val="24"/>
          <w:szCs w:val="20"/>
        </w:rPr>
        <w:t xml:space="preserve"> %.</w:t>
      </w:r>
    </w:p>
    <w:p w14:paraId="4D716164" w14:textId="77777777" w:rsidR="0030062B" w:rsidRDefault="0030062B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7AFDC457" w14:textId="448B89C1" w:rsidR="004A1E42" w:rsidRDefault="00E11D8A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Nejdražší ne</w:t>
      </w:r>
      <w:r w:rsidR="00F8447E">
        <w:rPr>
          <w:rFonts w:asciiTheme="minorHAnsi" w:eastAsia="Times New Roman" w:hAnsiTheme="minorHAnsi" w:cstheme="minorHAnsi"/>
          <w:sz w:val="24"/>
          <w:szCs w:val="20"/>
        </w:rPr>
        <w:t>movitosti jsou dle očekávání v</w:t>
      </w:r>
      <w:r w:rsidR="00F23794">
        <w:rPr>
          <w:rFonts w:asciiTheme="minorHAnsi" w:eastAsia="Times New Roman" w:hAnsiTheme="minorHAnsi" w:cstheme="minorHAnsi"/>
          <w:sz w:val="24"/>
          <w:szCs w:val="20"/>
        </w:rPr>
        <w:t> </w:t>
      </w:r>
      <w:r w:rsidR="00F8447E">
        <w:rPr>
          <w:rFonts w:asciiTheme="minorHAnsi" w:eastAsia="Times New Roman" w:hAnsiTheme="minorHAnsi" w:cstheme="minorHAnsi"/>
          <w:sz w:val="24"/>
          <w:szCs w:val="20"/>
        </w:rPr>
        <w:t>Praze</w:t>
      </w:r>
      <w:r w:rsidR="00F23794">
        <w:rPr>
          <w:rFonts w:asciiTheme="minorHAnsi" w:eastAsia="Times New Roman" w:hAnsiTheme="minorHAnsi" w:cstheme="minorHAnsi"/>
          <w:sz w:val="24"/>
          <w:szCs w:val="20"/>
        </w:rPr>
        <w:t>.</w:t>
      </w:r>
      <w:r w:rsidR="00F8447E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F23794">
        <w:rPr>
          <w:rFonts w:asciiTheme="minorHAnsi" w:eastAsia="Times New Roman" w:hAnsiTheme="minorHAnsi" w:cstheme="minorHAnsi"/>
          <w:sz w:val="24"/>
          <w:szCs w:val="20"/>
        </w:rPr>
        <w:t>M</w:t>
      </w:r>
      <w:r w:rsidR="00F8447E">
        <w:rPr>
          <w:rFonts w:asciiTheme="minorHAnsi" w:eastAsia="Times New Roman" w:hAnsiTheme="minorHAnsi" w:cstheme="minorHAnsi"/>
          <w:sz w:val="24"/>
          <w:szCs w:val="20"/>
        </w:rPr>
        <w:t xml:space="preserve">ístním nepomohou ani vyšší průměrné mzdy. </w:t>
      </w:r>
      <w:r w:rsidR="00F8447E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„Pražané </w:t>
      </w:r>
      <w:r w:rsidR="0026751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sice mají vyšší příjmy než zbytek republiky, ale nemovitosti zde jsou mnohonásobně </w:t>
      </w:r>
      <w:r w:rsidR="00027EE0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dražší </w:t>
      </w:r>
      <w:r w:rsidR="0026751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než v jiných částech naší země. </w:t>
      </w:r>
      <w:r w:rsidR="009F6E4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Platí se za lokalitu, pracovní příležitosti i </w:t>
      </w:r>
      <w:r w:rsidR="00704E1F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za </w:t>
      </w:r>
      <w:r w:rsidR="00E17E3F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to, že řadu bytů obsazují </w:t>
      </w:r>
      <w:r w:rsidR="0034309D">
        <w:rPr>
          <w:rFonts w:asciiTheme="minorHAnsi" w:eastAsia="Times New Roman" w:hAnsiTheme="minorHAnsi" w:cstheme="minorHAnsi"/>
          <w:i/>
          <w:iCs/>
          <w:sz w:val="24"/>
          <w:szCs w:val="20"/>
        </w:rPr>
        <w:t>turisté</w:t>
      </w:r>
      <w:r w:rsidR="00DC5C0B">
        <w:rPr>
          <w:rFonts w:asciiTheme="minorHAnsi" w:eastAsia="Times New Roman" w:hAnsiTheme="minorHAnsi" w:cstheme="minorHAnsi"/>
          <w:i/>
          <w:iCs/>
          <w:sz w:val="24"/>
          <w:szCs w:val="20"/>
        </w:rPr>
        <w:t>,“</w:t>
      </w:r>
      <w:r w:rsidR="00DC5C0B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1C6A78">
        <w:rPr>
          <w:rFonts w:asciiTheme="minorHAnsi" w:eastAsia="Times New Roman" w:hAnsiTheme="minorHAnsi" w:cstheme="minorHAnsi"/>
          <w:sz w:val="24"/>
          <w:szCs w:val="20"/>
        </w:rPr>
        <w:t xml:space="preserve">vysvětluje </w:t>
      </w:r>
      <w:r w:rsidR="00900598">
        <w:rPr>
          <w:rFonts w:asciiTheme="minorHAnsi" w:eastAsia="Times New Roman" w:hAnsiTheme="minorHAnsi" w:cstheme="minorHAnsi"/>
          <w:sz w:val="24"/>
          <w:szCs w:val="20"/>
        </w:rPr>
        <w:t>Petr Bartoň, manažer obchodní sítě Modré pyramidy.</w:t>
      </w:r>
      <w:r w:rsidR="009A427D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06550E">
        <w:rPr>
          <w:rFonts w:asciiTheme="minorHAnsi" w:eastAsia="Times New Roman" w:hAnsiTheme="minorHAnsi" w:cstheme="minorHAnsi"/>
          <w:sz w:val="24"/>
          <w:szCs w:val="20"/>
        </w:rPr>
        <w:t xml:space="preserve">Pražané by tak na nový byt potřebovali 147 průměrných pražských </w:t>
      </w:r>
      <w:r w:rsidR="00507EBE">
        <w:rPr>
          <w:rFonts w:asciiTheme="minorHAnsi" w:eastAsia="Times New Roman" w:hAnsiTheme="minorHAnsi" w:cstheme="minorHAnsi"/>
          <w:sz w:val="24"/>
          <w:szCs w:val="20"/>
        </w:rPr>
        <w:t>platů, průměr</w:t>
      </w:r>
      <w:r w:rsidR="00410AE1">
        <w:rPr>
          <w:rFonts w:asciiTheme="minorHAnsi" w:eastAsia="Times New Roman" w:hAnsiTheme="minorHAnsi" w:cstheme="minorHAnsi"/>
          <w:sz w:val="24"/>
          <w:szCs w:val="20"/>
        </w:rPr>
        <w:t>ných celorepublikových platů by bylo třeba dokonce</w:t>
      </w:r>
      <w:r w:rsidR="00507EBE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FC1FCC">
        <w:rPr>
          <w:rFonts w:asciiTheme="minorHAnsi" w:eastAsia="Times New Roman" w:hAnsiTheme="minorHAnsi" w:cstheme="minorHAnsi"/>
          <w:sz w:val="24"/>
          <w:szCs w:val="20"/>
        </w:rPr>
        <w:t>174</w:t>
      </w:r>
      <w:r w:rsidR="00DE5802">
        <w:rPr>
          <w:rFonts w:asciiTheme="minorHAnsi" w:eastAsia="Times New Roman" w:hAnsiTheme="minorHAnsi" w:cstheme="minorHAnsi"/>
          <w:sz w:val="24"/>
          <w:szCs w:val="20"/>
        </w:rPr>
        <w:t xml:space="preserve">. Naopak nejvýhodnější jsou </w:t>
      </w:r>
      <w:r w:rsidR="000461FD">
        <w:rPr>
          <w:rFonts w:asciiTheme="minorHAnsi" w:eastAsia="Times New Roman" w:hAnsiTheme="minorHAnsi" w:cstheme="minorHAnsi"/>
          <w:sz w:val="24"/>
          <w:szCs w:val="20"/>
        </w:rPr>
        <w:t xml:space="preserve">nemovitosti v Ústeckém kraji, kdy </w:t>
      </w:r>
      <w:r w:rsidR="00BD5442">
        <w:rPr>
          <w:rFonts w:asciiTheme="minorHAnsi" w:eastAsia="Times New Roman" w:hAnsiTheme="minorHAnsi" w:cstheme="minorHAnsi"/>
          <w:sz w:val="24"/>
          <w:szCs w:val="20"/>
        </w:rPr>
        <w:t xml:space="preserve">na jeho koupi místní obyvatelé potřebují 46 platů </w:t>
      </w:r>
      <w:r w:rsidR="00F439FA">
        <w:rPr>
          <w:rFonts w:asciiTheme="minorHAnsi" w:eastAsia="Times New Roman" w:hAnsiTheme="minorHAnsi" w:cstheme="minorHAnsi"/>
          <w:sz w:val="24"/>
          <w:szCs w:val="20"/>
        </w:rPr>
        <w:t>průměrných</w:t>
      </w:r>
      <w:r w:rsidR="00BD5442">
        <w:rPr>
          <w:rFonts w:asciiTheme="minorHAnsi" w:eastAsia="Times New Roman" w:hAnsiTheme="minorHAnsi" w:cstheme="minorHAnsi"/>
          <w:sz w:val="24"/>
          <w:szCs w:val="20"/>
        </w:rPr>
        <w:t xml:space="preserve"> pro tento region.</w:t>
      </w:r>
    </w:p>
    <w:p w14:paraId="4EDC66E3" w14:textId="2F1D843C" w:rsidR="00441D4F" w:rsidRDefault="00441D4F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1B596DB2" w14:textId="606C16BC" w:rsidR="00BE0C80" w:rsidRPr="00B3554D" w:rsidRDefault="003023E9" w:rsidP="00CD45B4">
      <w:pPr>
        <w:jc w:val="both"/>
        <w:rPr>
          <w:rFonts w:asciiTheme="minorHAnsi" w:eastAsia="Times New Roman" w:hAnsiTheme="minorHAnsi" w:cstheme="minorHAnsi"/>
          <w:b/>
          <w:bCs/>
          <w:sz w:val="24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0"/>
        </w:rPr>
        <w:t>Vlastní byt jedině s hypotékou</w:t>
      </w:r>
    </w:p>
    <w:p w14:paraId="2BB469D4" w14:textId="38309631" w:rsidR="00FA3AE1" w:rsidRDefault="00B3554D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6E2AE6">
        <w:rPr>
          <w:rFonts w:asciiTheme="minorHAnsi" w:eastAsia="Times New Roman" w:hAnsiTheme="minorHAnsi" w:cstheme="minorHAnsi"/>
          <w:sz w:val="24"/>
          <w:szCs w:val="20"/>
        </w:rPr>
        <w:t>Od platů musíme odečíst ještě výdaje na život, tedy potraviny, oblečení, náklady na bydlení</w:t>
      </w:r>
      <w:r w:rsidR="006E2AE6">
        <w:rPr>
          <w:rFonts w:asciiTheme="minorHAnsi" w:eastAsia="Times New Roman" w:hAnsiTheme="minorHAnsi" w:cstheme="minorHAnsi"/>
          <w:sz w:val="24"/>
          <w:szCs w:val="20"/>
        </w:rPr>
        <w:t xml:space="preserve"> apod. </w:t>
      </w:r>
      <w:r w:rsidR="006E2AE6">
        <w:rPr>
          <w:rFonts w:asciiTheme="minorHAnsi" w:eastAsia="Times New Roman" w:hAnsiTheme="minorHAnsi" w:cstheme="minorHAnsi"/>
          <w:i/>
          <w:iCs/>
          <w:sz w:val="24"/>
          <w:szCs w:val="20"/>
        </w:rPr>
        <w:t>„</w:t>
      </w:r>
      <w:r w:rsidR="00A157BA">
        <w:rPr>
          <w:rFonts w:asciiTheme="minorHAnsi" w:eastAsia="Times New Roman" w:hAnsiTheme="minorHAnsi" w:cstheme="minorHAnsi"/>
          <w:i/>
          <w:iCs/>
          <w:sz w:val="24"/>
          <w:szCs w:val="20"/>
        </w:rPr>
        <w:t>I když si odpustíme</w:t>
      </w:r>
      <w:r w:rsidR="00283647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="00A157BA">
        <w:rPr>
          <w:rFonts w:asciiTheme="minorHAnsi" w:eastAsia="Times New Roman" w:hAnsiTheme="minorHAnsi" w:cstheme="minorHAnsi"/>
          <w:i/>
          <w:iCs/>
          <w:sz w:val="24"/>
          <w:szCs w:val="20"/>
        </w:rPr>
        <w:t>kulturu</w:t>
      </w:r>
      <w:r w:rsidR="00A41A52">
        <w:rPr>
          <w:rFonts w:asciiTheme="minorHAnsi" w:eastAsia="Times New Roman" w:hAnsiTheme="minorHAnsi" w:cstheme="minorHAnsi"/>
          <w:i/>
          <w:iCs/>
          <w:sz w:val="24"/>
          <w:szCs w:val="20"/>
        </w:rPr>
        <w:t>, vzdělá</w:t>
      </w:r>
      <w:r w:rsidR="006B10ED">
        <w:rPr>
          <w:rFonts w:asciiTheme="minorHAnsi" w:eastAsia="Times New Roman" w:hAnsiTheme="minorHAnsi" w:cstheme="minorHAnsi"/>
          <w:i/>
          <w:iCs/>
          <w:sz w:val="24"/>
          <w:szCs w:val="20"/>
        </w:rPr>
        <w:t>vá</w:t>
      </w:r>
      <w:r w:rsidR="00A41A52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ní i </w:t>
      </w:r>
      <w:r w:rsidR="001E6447">
        <w:rPr>
          <w:rFonts w:asciiTheme="minorHAnsi" w:eastAsia="Times New Roman" w:hAnsiTheme="minorHAnsi" w:cstheme="minorHAnsi"/>
          <w:i/>
          <w:iCs/>
          <w:sz w:val="24"/>
          <w:szCs w:val="20"/>
        </w:rPr>
        <w:t>dovolenou</w:t>
      </w:r>
      <w:r w:rsidR="00A157BA">
        <w:rPr>
          <w:rFonts w:asciiTheme="minorHAnsi" w:eastAsia="Times New Roman" w:hAnsiTheme="minorHAnsi" w:cstheme="minorHAnsi"/>
          <w:i/>
          <w:iCs/>
          <w:sz w:val="24"/>
          <w:szCs w:val="20"/>
        </w:rPr>
        <w:t>, musíme počítat s</w:t>
      </w:r>
      <w:r w:rsidR="00EF1957">
        <w:rPr>
          <w:rFonts w:asciiTheme="minorHAnsi" w:eastAsia="Times New Roman" w:hAnsiTheme="minorHAnsi" w:cstheme="minorHAnsi"/>
          <w:i/>
          <w:iCs/>
          <w:sz w:val="24"/>
          <w:szCs w:val="20"/>
        </w:rPr>
        <w:t> výdaj</w:t>
      </w:r>
      <w:r w:rsidR="00973C8A">
        <w:rPr>
          <w:rFonts w:asciiTheme="minorHAnsi" w:eastAsia="Times New Roman" w:hAnsiTheme="minorHAnsi" w:cstheme="minorHAnsi"/>
          <w:i/>
          <w:iCs/>
          <w:sz w:val="24"/>
          <w:szCs w:val="20"/>
        </w:rPr>
        <w:t>i</w:t>
      </w:r>
      <w:r w:rsidR="00EF1957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="00B210B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v průměru </w:t>
      </w:r>
      <w:r w:rsidR="00A63B7D">
        <w:rPr>
          <w:rFonts w:asciiTheme="minorHAnsi" w:eastAsia="Times New Roman" w:hAnsiTheme="minorHAnsi" w:cstheme="minorHAnsi"/>
          <w:i/>
          <w:iCs/>
          <w:sz w:val="24"/>
          <w:szCs w:val="20"/>
        </w:rPr>
        <w:t>asi</w:t>
      </w:r>
      <w:r w:rsidR="00EF1957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1</w:t>
      </w:r>
      <w:r w:rsidR="009C7148">
        <w:rPr>
          <w:rFonts w:asciiTheme="minorHAnsi" w:eastAsia="Times New Roman" w:hAnsiTheme="minorHAnsi" w:cstheme="minorHAnsi"/>
          <w:i/>
          <w:iCs/>
          <w:sz w:val="24"/>
          <w:szCs w:val="20"/>
        </w:rPr>
        <w:t>3</w:t>
      </w:r>
      <w:r w:rsidR="00EF1957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0 tisíc korun ročně. </w:t>
      </w:r>
      <w:r w:rsidR="00B509E0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A to nepočítáme nájemné, které je v průměru okolo </w:t>
      </w:r>
      <w:r w:rsidR="005B2DCB">
        <w:rPr>
          <w:rFonts w:asciiTheme="minorHAnsi" w:eastAsia="Times New Roman" w:hAnsiTheme="minorHAnsi" w:cstheme="minorHAnsi"/>
          <w:i/>
          <w:iCs/>
          <w:sz w:val="24"/>
          <w:szCs w:val="20"/>
        </w:rPr>
        <w:t>1</w:t>
      </w:r>
      <w:r w:rsidR="00E91FC8">
        <w:rPr>
          <w:rFonts w:asciiTheme="minorHAnsi" w:eastAsia="Times New Roman" w:hAnsiTheme="minorHAnsi" w:cstheme="minorHAnsi"/>
          <w:i/>
          <w:iCs/>
          <w:sz w:val="24"/>
          <w:szCs w:val="20"/>
        </w:rPr>
        <w:t>2</w:t>
      </w:r>
      <w:r w:rsidR="005B2DC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tisíc korun. Z</w:t>
      </w:r>
      <w:r w:rsidR="00F17152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 platu nám tak na spoření na koupi nemovitosti </w:t>
      </w:r>
      <w:r w:rsidR="00F17152">
        <w:rPr>
          <w:rFonts w:asciiTheme="minorHAnsi" w:eastAsia="Times New Roman" w:hAnsiTheme="minorHAnsi" w:cstheme="minorHAnsi"/>
          <w:i/>
          <w:iCs/>
          <w:sz w:val="24"/>
          <w:szCs w:val="20"/>
        </w:rPr>
        <w:lastRenderedPageBreak/>
        <w:t>nezbývá</w:t>
      </w:r>
      <w:r w:rsidR="0006464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dost</w:t>
      </w:r>
      <w:r w:rsidR="007B2425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peněz</w:t>
      </w:r>
      <w:r w:rsidR="00F17152">
        <w:rPr>
          <w:rFonts w:asciiTheme="minorHAnsi" w:eastAsia="Times New Roman" w:hAnsiTheme="minorHAnsi" w:cstheme="minorHAnsi"/>
          <w:i/>
          <w:iCs/>
          <w:sz w:val="24"/>
          <w:szCs w:val="20"/>
        </w:rPr>
        <w:t>,“</w:t>
      </w:r>
      <w:r w:rsidR="00F17152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1C6A78">
        <w:rPr>
          <w:rFonts w:asciiTheme="minorHAnsi" w:eastAsia="Times New Roman" w:hAnsiTheme="minorHAnsi" w:cstheme="minorHAnsi"/>
          <w:sz w:val="24"/>
          <w:szCs w:val="20"/>
        </w:rPr>
        <w:t xml:space="preserve">vypočítává </w:t>
      </w:r>
      <w:r w:rsidR="00900598">
        <w:rPr>
          <w:rFonts w:asciiTheme="minorHAnsi" w:eastAsia="Times New Roman" w:hAnsiTheme="minorHAnsi" w:cstheme="minorHAnsi"/>
          <w:sz w:val="24"/>
          <w:szCs w:val="20"/>
        </w:rPr>
        <w:t>Petr Bartoň</w:t>
      </w:r>
      <w:r w:rsidR="00F17152">
        <w:rPr>
          <w:rFonts w:asciiTheme="minorHAnsi" w:eastAsia="Times New Roman" w:hAnsiTheme="minorHAnsi" w:cstheme="minorHAnsi"/>
          <w:sz w:val="24"/>
          <w:szCs w:val="20"/>
        </w:rPr>
        <w:t>.</w:t>
      </w:r>
      <w:r w:rsidR="0093624D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C10ED8">
        <w:rPr>
          <w:rFonts w:asciiTheme="minorHAnsi" w:eastAsia="Times New Roman" w:hAnsiTheme="minorHAnsi" w:cstheme="minorHAnsi"/>
          <w:sz w:val="24"/>
          <w:szCs w:val="20"/>
        </w:rPr>
        <w:t xml:space="preserve">Po odečtení těchto nákladů Čechům zbyde </w:t>
      </w:r>
      <w:r w:rsidR="008C666B">
        <w:rPr>
          <w:rFonts w:asciiTheme="minorHAnsi" w:eastAsia="Times New Roman" w:hAnsiTheme="minorHAnsi" w:cstheme="minorHAnsi"/>
          <w:sz w:val="24"/>
          <w:szCs w:val="20"/>
        </w:rPr>
        <w:t xml:space="preserve">lehce nad </w:t>
      </w:r>
      <w:r w:rsidR="00FE625A">
        <w:rPr>
          <w:rFonts w:asciiTheme="minorHAnsi" w:eastAsia="Times New Roman" w:hAnsiTheme="minorHAnsi" w:cstheme="minorHAnsi"/>
          <w:sz w:val="24"/>
          <w:szCs w:val="20"/>
        </w:rPr>
        <w:t>7</w:t>
      </w:r>
      <w:r w:rsidR="004B6F64">
        <w:rPr>
          <w:rFonts w:asciiTheme="minorHAnsi" w:eastAsia="Times New Roman" w:hAnsiTheme="minorHAnsi" w:cstheme="minorHAnsi"/>
          <w:sz w:val="24"/>
          <w:szCs w:val="20"/>
        </w:rPr>
        <w:t xml:space="preserve"> tisíc korun.</w:t>
      </w:r>
      <w:r w:rsidR="003455B3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3455B3">
        <w:rPr>
          <w:rFonts w:asciiTheme="minorHAnsi" w:eastAsia="Times New Roman" w:hAnsiTheme="minorHAnsi" w:cstheme="minorHAnsi"/>
          <w:i/>
          <w:iCs/>
          <w:sz w:val="24"/>
          <w:szCs w:val="20"/>
        </w:rPr>
        <w:t>„</w:t>
      </w:r>
      <w:r w:rsidR="003455B3" w:rsidRPr="003455B3">
        <w:rPr>
          <w:rFonts w:asciiTheme="minorHAnsi" w:eastAsia="Times New Roman" w:hAnsiTheme="minorHAnsi" w:cstheme="minorHAnsi"/>
          <w:i/>
          <w:iCs/>
          <w:sz w:val="24"/>
          <w:szCs w:val="20"/>
        </w:rPr>
        <w:t>V ideálním případě by si tímto způsobem Češi na vlastní byt</w:t>
      </w:r>
      <w:r w:rsidR="00C60DEE" w:rsidRPr="003455B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naspořili</w:t>
      </w:r>
      <w:r w:rsidR="00303119" w:rsidRPr="003455B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za </w:t>
      </w:r>
      <w:r w:rsidR="008C666B">
        <w:rPr>
          <w:rFonts w:asciiTheme="minorHAnsi" w:eastAsia="Times New Roman" w:hAnsiTheme="minorHAnsi" w:cstheme="minorHAnsi"/>
          <w:i/>
          <w:iCs/>
          <w:sz w:val="24"/>
          <w:szCs w:val="20"/>
        </w:rPr>
        <w:t>56</w:t>
      </w:r>
      <w:r w:rsidR="00303119" w:rsidRPr="003455B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let. To je naprosto nereáln</w:t>
      </w:r>
      <w:r w:rsidR="00FF1F00" w:rsidRPr="003455B3">
        <w:rPr>
          <w:rFonts w:asciiTheme="minorHAnsi" w:eastAsia="Times New Roman" w:hAnsiTheme="minorHAnsi" w:cstheme="minorHAnsi"/>
          <w:i/>
          <w:iCs/>
          <w:sz w:val="24"/>
          <w:szCs w:val="20"/>
        </w:rPr>
        <w:t>é</w:t>
      </w:r>
      <w:r w:rsidR="00303119" w:rsidRPr="003455B3">
        <w:rPr>
          <w:rFonts w:asciiTheme="minorHAnsi" w:eastAsia="Times New Roman" w:hAnsiTheme="minorHAnsi" w:cstheme="minorHAnsi"/>
          <w:i/>
          <w:iCs/>
          <w:sz w:val="24"/>
          <w:szCs w:val="20"/>
        </w:rPr>
        <w:t>,“</w:t>
      </w:r>
      <w:r w:rsidR="00900598">
        <w:rPr>
          <w:rFonts w:asciiTheme="minorHAnsi" w:eastAsia="Times New Roman" w:hAnsiTheme="minorHAnsi" w:cstheme="minorHAnsi"/>
          <w:sz w:val="24"/>
          <w:szCs w:val="20"/>
        </w:rPr>
        <w:t xml:space="preserve"> dodává Bartoň</w:t>
      </w:r>
      <w:r w:rsidR="00A13774">
        <w:rPr>
          <w:rFonts w:asciiTheme="minorHAnsi" w:eastAsia="Times New Roman" w:hAnsiTheme="minorHAnsi" w:cstheme="minorHAnsi"/>
          <w:sz w:val="24"/>
          <w:szCs w:val="20"/>
        </w:rPr>
        <w:t>.</w:t>
      </w:r>
      <w:r w:rsidR="00C60DEE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="007E7BDD">
        <w:rPr>
          <w:rFonts w:asciiTheme="minorHAnsi" w:eastAsia="Times New Roman" w:hAnsiTheme="minorHAnsi" w:cstheme="minorHAnsi"/>
          <w:sz w:val="24"/>
          <w:szCs w:val="20"/>
        </w:rPr>
        <w:t xml:space="preserve">Řešením je tak pro řadu Čechů hypotéka. </w:t>
      </w:r>
      <w:r w:rsidR="00CE330A">
        <w:rPr>
          <w:rFonts w:asciiTheme="minorHAnsi" w:eastAsia="Times New Roman" w:hAnsiTheme="minorHAnsi" w:cstheme="minorHAnsi"/>
          <w:sz w:val="24"/>
          <w:szCs w:val="20"/>
        </w:rPr>
        <w:t xml:space="preserve">Na její </w:t>
      </w:r>
      <w:r w:rsidR="004E7C45">
        <w:rPr>
          <w:rFonts w:asciiTheme="minorHAnsi" w:eastAsia="Times New Roman" w:hAnsiTheme="minorHAnsi" w:cstheme="minorHAnsi"/>
          <w:sz w:val="24"/>
          <w:szCs w:val="20"/>
        </w:rPr>
        <w:t>sjednání</w:t>
      </w:r>
      <w:r w:rsidR="00CE330A">
        <w:rPr>
          <w:rFonts w:asciiTheme="minorHAnsi" w:eastAsia="Times New Roman" w:hAnsiTheme="minorHAnsi" w:cstheme="minorHAnsi"/>
          <w:sz w:val="24"/>
          <w:szCs w:val="20"/>
        </w:rPr>
        <w:t xml:space="preserve"> stačí 10 % hodnoty kupované nemovitosti, v průměru asi roční plat. </w:t>
      </w:r>
      <w:r w:rsidR="00347836">
        <w:rPr>
          <w:rFonts w:asciiTheme="minorHAnsi" w:eastAsia="Times New Roman" w:hAnsiTheme="minorHAnsi" w:cstheme="minorHAnsi"/>
          <w:sz w:val="24"/>
          <w:szCs w:val="20"/>
        </w:rPr>
        <w:t>Navíc její</w:t>
      </w:r>
      <w:r w:rsidR="007E7BDD">
        <w:rPr>
          <w:rFonts w:asciiTheme="minorHAnsi" w:eastAsia="Times New Roman" w:hAnsiTheme="minorHAnsi" w:cstheme="minorHAnsi"/>
          <w:sz w:val="24"/>
          <w:szCs w:val="20"/>
        </w:rPr>
        <w:t xml:space="preserve"> splátka mnohdy dosáhne stejných, nebo i nižších částek, než nájemné.</w:t>
      </w:r>
      <w:r w:rsidR="00432ECB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C668D8">
        <w:rPr>
          <w:rFonts w:asciiTheme="minorHAnsi" w:eastAsia="Times New Roman" w:hAnsiTheme="minorHAnsi" w:cstheme="minorHAnsi"/>
          <w:sz w:val="24"/>
          <w:szCs w:val="20"/>
        </w:rPr>
        <w:t xml:space="preserve">V případě hypotéky na 90 % hodnoty nemovitosti by její </w:t>
      </w:r>
      <w:r w:rsidR="00B00D3B">
        <w:rPr>
          <w:rFonts w:asciiTheme="minorHAnsi" w:eastAsia="Times New Roman" w:hAnsiTheme="minorHAnsi" w:cstheme="minorHAnsi"/>
          <w:sz w:val="24"/>
          <w:szCs w:val="20"/>
        </w:rPr>
        <w:t xml:space="preserve">průměrná </w:t>
      </w:r>
      <w:r w:rsidR="00C668D8">
        <w:rPr>
          <w:rFonts w:asciiTheme="minorHAnsi" w:eastAsia="Times New Roman" w:hAnsiTheme="minorHAnsi" w:cstheme="minorHAnsi"/>
          <w:sz w:val="24"/>
          <w:szCs w:val="20"/>
        </w:rPr>
        <w:t xml:space="preserve">splátka </w:t>
      </w:r>
      <w:r w:rsidR="006F2D01">
        <w:rPr>
          <w:rFonts w:asciiTheme="minorHAnsi" w:eastAsia="Times New Roman" w:hAnsiTheme="minorHAnsi" w:cstheme="minorHAnsi"/>
          <w:sz w:val="24"/>
          <w:szCs w:val="20"/>
        </w:rPr>
        <w:t xml:space="preserve">činila 17,5 tisíce korun. </w:t>
      </w:r>
      <w:r w:rsidR="006F2D01">
        <w:rPr>
          <w:rFonts w:asciiTheme="minorHAnsi" w:eastAsia="Times New Roman" w:hAnsiTheme="minorHAnsi" w:cstheme="minorHAnsi"/>
          <w:i/>
          <w:iCs/>
          <w:sz w:val="24"/>
          <w:szCs w:val="20"/>
        </w:rPr>
        <w:t>„</w:t>
      </w:r>
      <w:r w:rsidR="00AE3600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Kromě drahých velkých měst se hypoteční splátka pohybuje okolo 11 tisíc korun. Ve čtyřech krajích se dostane </w:t>
      </w:r>
      <w:r w:rsidR="00A7114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dokonce </w:t>
      </w:r>
      <w:r w:rsidR="00AE3600">
        <w:rPr>
          <w:rFonts w:asciiTheme="minorHAnsi" w:eastAsia="Times New Roman" w:hAnsiTheme="minorHAnsi" w:cstheme="minorHAnsi"/>
          <w:i/>
          <w:iCs/>
          <w:sz w:val="24"/>
          <w:szCs w:val="20"/>
        </w:rPr>
        <w:t>pod 10 tisíc korun,“</w:t>
      </w:r>
      <w:r w:rsidR="00900598">
        <w:rPr>
          <w:rFonts w:asciiTheme="minorHAnsi" w:eastAsia="Times New Roman" w:hAnsiTheme="minorHAnsi" w:cstheme="minorHAnsi"/>
          <w:sz w:val="24"/>
          <w:szCs w:val="20"/>
        </w:rPr>
        <w:t xml:space="preserve"> uzavírá manažer obchodní sítě Petr Bartoň</w:t>
      </w:r>
      <w:r w:rsidR="00AE3600">
        <w:rPr>
          <w:rFonts w:asciiTheme="minorHAnsi" w:eastAsia="Times New Roman" w:hAnsiTheme="minorHAnsi" w:cstheme="minorHAnsi"/>
          <w:sz w:val="24"/>
          <w:szCs w:val="20"/>
        </w:rPr>
        <w:t>.</w:t>
      </w:r>
    </w:p>
    <w:p w14:paraId="3C6DF4B9" w14:textId="76EE55DF" w:rsidR="001648F2" w:rsidRDefault="007E5EDF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--------------------------</w:t>
      </w:r>
    </w:p>
    <w:p w14:paraId="27115BD2" w14:textId="12E5630A" w:rsidR="001648F2" w:rsidRDefault="00407F03" w:rsidP="009B701B">
      <w:pPr>
        <w:jc w:val="both"/>
        <w:rPr>
          <w:rFonts w:asciiTheme="minorHAnsi" w:eastAsia="Times New Roman" w:hAnsiTheme="minorHAnsi" w:cstheme="minorHAnsi"/>
          <w:sz w:val="20"/>
          <w:szCs w:val="16"/>
        </w:rPr>
      </w:pPr>
      <w:r>
        <w:rPr>
          <w:rFonts w:asciiTheme="minorHAnsi" w:eastAsia="Times New Roman" w:hAnsiTheme="minorHAnsi" w:cstheme="minorHAnsi"/>
          <w:sz w:val="20"/>
          <w:szCs w:val="16"/>
        </w:rPr>
        <w:t>Poznámka</w:t>
      </w:r>
      <w:r w:rsidR="00163998" w:rsidRPr="007E5EDF">
        <w:rPr>
          <w:rFonts w:asciiTheme="minorHAnsi" w:eastAsia="Times New Roman" w:hAnsiTheme="minorHAnsi" w:cstheme="minorHAnsi"/>
          <w:sz w:val="20"/>
          <w:szCs w:val="16"/>
        </w:rPr>
        <w:t>:</w:t>
      </w:r>
    </w:p>
    <w:p w14:paraId="597EEE6E" w14:textId="1E6339A4" w:rsidR="00863DF5" w:rsidRDefault="007B259A" w:rsidP="009B701B">
      <w:pPr>
        <w:jc w:val="both"/>
        <w:rPr>
          <w:rFonts w:asciiTheme="minorHAnsi" w:eastAsia="Times New Roman" w:hAnsiTheme="minorHAnsi" w:cstheme="minorHAnsi"/>
          <w:sz w:val="20"/>
          <w:szCs w:val="16"/>
        </w:rPr>
      </w:pPr>
      <w:r>
        <w:rPr>
          <w:rFonts w:asciiTheme="minorHAnsi" w:eastAsia="Times New Roman" w:hAnsiTheme="minorHAnsi" w:cstheme="minorHAnsi"/>
          <w:sz w:val="20"/>
          <w:szCs w:val="16"/>
        </w:rPr>
        <w:t xml:space="preserve">Pravidelná </w:t>
      </w:r>
      <w:r w:rsidR="00154091">
        <w:rPr>
          <w:rFonts w:asciiTheme="minorHAnsi" w:eastAsia="Times New Roman" w:hAnsiTheme="minorHAnsi" w:cstheme="minorHAnsi"/>
          <w:sz w:val="20"/>
          <w:szCs w:val="16"/>
        </w:rPr>
        <w:t xml:space="preserve">kvartální </w:t>
      </w:r>
      <w:r>
        <w:rPr>
          <w:rFonts w:asciiTheme="minorHAnsi" w:eastAsia="Times New Roman" w:hAnsiTheme="minorHAnsi" w:cstheme="minorHAnsi"/>
          <w:sz w:val="20"/>
          <w:szCs w:val="16"/>
        </w:rPr>
        <w:t>a</w:t>
      </w:r>
      <w:r w:rsidR="00407F03">
        <w:rPr>
          <w:rFonts w:asciiTheme="minorHAnsi" w:eastAsia="Times New Roman" w:hAnsiTheme="minorHAnsi" w:cstheme="minorHAnsi"/>
          <w:sz w:val="20"/>
          <w:szCs w:val="16"/>
        </w:rPr>
        <w:t xml:space="preserve">nalýza </w:t>
      </w:r>
      <w:r w:rsidR="00C42B15" w:rsidRPr="00C42B15">
        <w:rPr>
          <w:rFonts w:asciiTheme="minorHAnsi" w:eastAsia="Times New Roman" w:hAnsiTheme="minorHAnsi" w:cstheme="minorHAnsi"/>
          <w:sz w:val="20"/>
          <w:szCs w:val="16"/>
        </w:rPr>
        <w:t>Modré pyramidy</w:t>
      </w:r>
      <w:r w:rsidR="00C42B15">
        <w:rPr>
          <w:rFonts w:asciiTheme="minorHAnsi" w:eastAsia="Times New Roman" w:hAnsiTheme="minorHAnsi" w:cstheme="minorHAnsi"/>
          <w:sz w:val="20"/>
          <w:szCs w:val="16"/>
        </w:rPr>
        <w:t xml:space="preserve"> </w:t>
      </w:r>
      <w:r w:rsidR="00407F03" w:rsidRPr="0041729C">
        <w:rPr>
          <w:rFonts w:asciiTheme="minorHAnsi" w:eastAsia="Times New Roman" w:hAnsiTheme="minorHAnsi" w:cstheme="minorHAnsi"/>
          <w:b/>
          <w:bCs/>
          <w:i/>
          <w:iCs/>
          <w:sz w:val="20"/>
          <w:szCs w:val="16"/>
        </w:rPr>
        <w:t>Dostupnost bydlení</w:t>
      </w:r>
      <w:r w:rsidR="0041729C">
        <w:rPr>
          <w:rFonts w:asciiTheme="minorHAnsi" w:eastAsia="Times New Roman" w:hAnsiTheme="minorHAnsi" w:cstheme="minorHAnsi"/>
          <w:b/>
          <w:bCs/>
          <w:i/>
          <w:iCs/>
          <w:sz w:val="20"/>
          <w:szCs w:val="16"/>
        </w:rPr>
        <w:t xml:space="preserve"> </w:t>
      </w:r>
      <w:r w:rsidR="00EE5E87">
        <w:rPr>
          <w:rFonts w:asciiTheme="minorHAnsi" w:eastAsia="Times New Roman" w:hAnsiTheme="minorHAnsi" w:cstheme="minorHAnsi"/>
          <w:sz w:val="20"/>
          <w:szCs w:val="16"/>
        </w:rPr>
        <w:t>vychází z interních dat a statist</w:t>
      </w:r>
      <w:r w:rsidR="009C36BE">
        <w:rPr>
          <w:rFonts w:asciiTheme="minorHAnsi" w:eastAsia="Times New Roman" w:hAnsiTheme="minorHAnsi" w:cstheme="minorHAnsi"/>
          <w:sz w:val="20"/>
          <w:szCs w:val="16"/>
        </w:rPr>
        <w:t xml:space="preserve">ik Modré pyramidy a z veřejně dostupných informací </w:t>
      </w:r>
      <w:proofErr w:type="spellStart"/>
      <w:r w:rsidR="009C36BE">
        <w:rPr>
          <w:rFonts w:asciiTheme="minorHAnsi" w:eastAsia="Times New Roman" w:hAnsiTheme="minorHAnsi" w:cstheme="minorHAnsi"/>
          <w:sz w:val="20"/>
          <w:szCs w:val="16"/>
        </w:rPr>
        <w:t>Eurostatu</w:t>
      </w:r>
      <w:proofErr w:type="spellEnd"/>
      <w:r w:rsidR="009C36BE">
        <w:rPr>
          <w:rFonts w:asciiTheme="minorHAnsi" w:eastAsia="Times New Roman" w:hAnsiTheme="minorHAnsi" w:cstheme="minorHAnsi"/>
          <w:sz w:val="20"/>
          <w:szCs w:val="16"/>
        </w:rPr>
        <w:t>, Českého statistického úřadu</w:t>
      </w:r>
      <w:r w:rsidR="00331C7E">
        <w:rPr>
          <w:rFonts w:asciiTheme="minorHAnsi" w:eastAsia="Times New Roman" w:hAnsiTheme="minorHAnsi" w:cstheme="minorHAnsi"/>
          <w:sz w:val="20"/>
          <w:szCs w:val="16"/>
        </w:rPr>
        <w:t xml:space="preserve">, poradenské společnosti </w:t>
      </w:r>
      <w:proofErr w:type="spellStart"/>
      <w:r w:rsidR="00331C7E">
        <w:rPr>
          <w:rFonts w:asciiTheme="minorHAnsi" w:eastAsia="Times New Roman" w:hAnsiTheme="minorHAnsi" w:cstheme="minorHAnsi"/>
          <w:sz w:val="20"/>
          <w:szCs w:val="16"/>
        </w:rPr>
        <w:t>Deloitte</w:t>
      </w:r>
      <w:proofErr w:type="spellEnd"/>
      <w:r w:rsidR="00331C7E">
        <w:rPr>
          <w:rFonts w:asciiTheme="minorHAnsi" w:eastAsia="Times New Roman" w:hAnsiTheme="minorHAnsi" w:cstheme="minorHAnsi"/>
          <w:sz w:val="20"/>
          <w:szCs w:val="16"/>
        </w:rPr>
        <w:t xml:space="preserve"> a realitních kanceláří.</w:t>
      </w:r>
    </w:p>
    <w:p w14:paraId="70D8C313" w14:textId="77777777" w:rsidR="004A1E42" w:rsidRDefault="004A1E42" w:rsidP="009B701B">
      <w:pPr>
        <w:jc w:val="both"/>
        <w:rPr>
          <w:rFonts w:asciiTheme="minorHAnsi" w:eastAsia="Times New Roman" w:hAnsiTheme="minorHAnsi" w:cstheme="minorHAnsi"/>
          <w:sz w:val="20"/>
          <w:szCs w:val="16"/>
        </w:rPr>
      </w:pPr>
    </w:p>
    <w:p w14:paraId="29D8DD45" w14:textId="77777777" w:rsidR="00EC275B" w:rsidRDefault="00EC275B" w:rsidP="00EC275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--------------------------</w:t>
      </w:r>
    </w:p>
    <w:p w14:paraId="04051E3B" w14:textId="77777777" w:rsidR="004A1E42" w:rsidRDefault="004A1E42" w:rsidP="009B701B">
      <w:pPr>
        <w:jc w:val="both"/>
        <w:rPr>
          <w:rFonts w:asciiTheme="minorHAnsi" w:eastAsia="Times New Roman" w:hAnsiTheme="minorHAnsi" w:cstheme="minorHAnsi"/>
          <w:sz w:val="20"/>
          <w:szCs w:val="16"/>
        </w:rPr>
      </w:pPr>
    </w:p>
    <w:p w14:paraId="53657494" w14:textId="67ABABB3" w:rsidR="004A1E42" w:rsidRPr="00EC275B" w:rsidRDefault="004A1E42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EC275B">
        <w:rPr>
          <w:rFonts w:asciiTheme="minorHAnsi" w:eastAsia="Times New Roman" w:hAnsiTheme="minorHAnsi" w:cstheme="minorHAnsi"/>
          <w:sz w:val="24"/>
          <w:szCs w:val="20"/>
        </w:rPr>
        <w:t xml:space="preserve">Tabulky </w:t>
      </w:r>
      <w:r w:rsidR="003C75CA" w:rsidRPr="00EC275B">
        <w:rPr>
          <w:rFonts w:asciiTheme="minorHAnsi" w:eastAsia="Times New Roman" w:hAnsiTheme="minorHAnsi" w:cstheme="minorHAnsi"/>
          <w:sz w:val="24"/>
          <w:szCs w:val="20"/>
        </w:rPr>
        <w:t>s daty vycházející z analýzy</w:t>
      </w:r>
      <w:r w:rsidRPr="00EC275B">
        <w:rPr>
          <w:rFonts w:asciiTheme="minorHAnsi" w:eastAsia="Times New Roman" w:hAnsiTheme="minorHAnsi" w:cstheme="minorHAnsi"/>
          <w:sz w:val="24"/>
          <w:szCs w:val="20"/>
        </w:rPr>
        <w:t xml:space="preserve"> Modré Pyramidy </w:t>
      </w:r>
      <w:r w:rsidRPr="00EC275B">
        <w:rPr>
          <w:rFonts w:asciiTheme="minorHAnsi" w:eastAsia="Times New Roman" w:hAnsiTheme="minorHAnsi" w:cstheme="minorHAnsi"/>
          <w:b/>
          <w:i/>
          <w:sz w:val="24"/>
          <w:szCs w:val="20"/>
        </w:rPr>
        <w:t>Dostupnost bydlení</w:t>
      </w:r>
      <w:r w:rsidRPr="00EC275B">
        <w:rPr>
          <w:rFonts w:asciiTheme="minorHAnsi" w:eastAsia="Times New Roman" w:hAnsiTheme="minorHAnsi" w:cstheme="minorHAnsi"/>
          <w:sz w:val="24"/>
          <w:szCs w:val="20"/>
        </w:rPr>
        <w:t>:</w:t>
      </w:r>
    </w:p>
    <w:p w14:paraId="5D48FF91" w14:textId="77777777" w:rsidR="004A1E42" w:rsidRDefault="004A1E42" w:rsidP="009B701B">
      <w:pPr>
        <w:jc w:val="both"/>
        <w:rPr>
          <w:rFonts w:asciiTheme="minorHAnsi" w:eastAsia="Times New Roman" w:hAnsiTheme="minorHAnsi" w:cstheme="minorHAnsi"/>
          <w:sz w:val="20"/>
          <w:szCs w:val="16"/>
        </w:rPr>
      </w:pPr>
    </w:p>
    <w:p w14:paraId="7C585354" w14:textId="77777777" w:rsidR="004A1E42" w:rsidRPr="002425BE" w:rsidRDefault="004A1E42" w:rsidP="004A1E42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2425BE">
        <w:rPr>
          <w:rFonts w:asciiTheme="minorHAnsi" w:eastAsia="Times New Roman" w:hAnsiTheme="minorHAnsi" w:cstheme="minorHAnsi"/>
          <w:b/>
          <w:bCs/>
        </w:rPr>
        <w:t xml:space="preserve">Ceny </w:t>
      </w:r>
      <w:r w:rsidRPr="000E28E2">
        <w:rPr>
          <w:rFonts w:asciiTheme="minorHAnsi" w:eastAsia="Times New Roman" w:hAnsiTheme="minorHAnsi" w:cstheme="minorHAnsi"/>
          <w:b/>
          <w:bCs/>
        </w:rPr>
        <w:t>nemovitostí a</w:t>
      </w:r>
      <w:r w:rsidRPr="000E28E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2425BE">
        <w:rPr>
          <w:rFonts w:asciiTheme="minorHAnsi" w:eastAsia="Times New Roman" w:hAnsiTheme="minorHAnsi" w:cstheme="minorHAnsi"/>
          <w:b/>
          <w:bCs/>
        </w:rPr>
        <w:t>mzdy</w:t>
      </w: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2976"/>
        <w:gridCol w:w="2977"/>
      </w:tblGrid>
      <w:tr w:rsidR="004A1E42" w:rsidRPr="00EE5E87" w14:paraId="075B8836" w14:textId="77777777" w:rsidTr="00617742">
        <w:trPr>
          <w:trHeight w:val="1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BA6B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9349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Průměrné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hrubé 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mzdy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– Q4/2020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0705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nemovitosti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65,3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– Q4/2020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129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Počet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regionálních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mezd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potřebných pro koupi – Q4/2020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9CE3" w14:textId="77777777" w:rsidR="004A1E42" w:rsidRPr="00EE5E87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regionálních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mezd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potřebných pro koupi – Q4/2019</w:t>
            </w:r>
          </w:p>
        </w:tc>
      </w:tr>
      <w:tr w:rsidR="004A1E42" w:rsidRPr="00EE5E87" w14:paraId="5063E5B0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27A1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252D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1972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405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0C0B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0F5D6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</w:tr>
      <w:tr w:rsidR="004A1E42" w:rsidRPr="00EE5E87" w14:paraId="1FC22497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6DB3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Středočeský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40ED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331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6FDB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035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164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15B8E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</w:tr>
      <w:tr w:rsidR="004A1E42" w:rsidRPr="00EE5E87" w14:paraId="1E410AB1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6BB3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Jihočeský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B0BB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D5C5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088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642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1F497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</w:tr>
      <w:tr w:rsidR="004A1E42" w:rsidRPr="00EE5E87" w14:paraId="74F54A00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E6DE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Plzeňský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9FD4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331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3EF1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408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C7E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44FC7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</w:tr>
      <w:tr w:rsidR="004A1E42" w:rsidRPr="00EE5E87" w14:paraId="3B3EFA2C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D17F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Karlovarský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B366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855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4E16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096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74F0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2F7F2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</w:tr>
      <w:tr w:rsidR="004A1E42" w:rsidRPr="00EE5E87" w14:paraId="5ECB182F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3C1A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Ústecký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B4A5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207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F9E2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619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1B4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555D8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4A1E42" w:rsidRPr="00EE5E87" w14:paraId="560C6EA4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9F50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Liberecký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8A8B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BF1A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023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2AA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C7B8B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</w:tr>
      <w:tr w:rsidR="004A1E42" w:rsidRPr="00EE5E87" w14:paraId="34456953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800A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Královéhradecký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E024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052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9D1F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506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7226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3E503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</w:tr>
      <w:tr w:rsidR="004A1E42" w:rsidRPr="00EE5E87" w14:paraId="1A494A04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68B2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Pardubický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62CF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022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797E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265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588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67313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</w:tr>
      <w:tr w:rsidR="004A1E42" w:rsidRPr="00EE5E87" w14:paraId="54FE2969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3214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Vysočina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ECB3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7B26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010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3EC5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8B67F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</w:tr>
      <w:tr w:rsidR="004A1E42" w:rsidRPr="00EE5E87" w14:paraId="6D513D26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83FA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Jihomoravský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D7B4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045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CB9D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1ADA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00EB6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4A1E42" w:rsidRPr="00EE5E87" w14:paraId="0FB08647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BD55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Olomoucký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60B1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0E9E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284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C3C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71369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</w:tr>
      <w:tr w:rsidR="004A1E42" w:rsidRPr="00EE5E87" w14:paraId="2741EAFF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1130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Zlínský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052E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359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65AA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781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52E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B3F24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</w:tr>
      <w:tr w:rsidR="004A1E42" w:rsidRPr="00EE5E87" w14:paraId="358416FB" w14:textId="77777777" w:rsidTr="00617742">
        <w:trPr>
          <w:trHeight w:val="70"/>
        </w:trPr>
        <w:tc>
          <w:tcPr>
            <w:tcW w:w="1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04D7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Moravskoslezský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7B88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881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D890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096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315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  <w:r w:rsidRPr="00EE5E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A5D25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</w:tr>
      <w:tr w:rsidR="004A1E42" w:rsidRPr="00EE5E87" w14:paraId="30889D3E" w14:textId="77777777" w:rsidTr="0061774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A0D" w14:textId="77777777" w:rsidR="004A1E42" w:rsidRPr="00393430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PRŮMĚR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6768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36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873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F3F3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4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 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819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393430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140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BB9" w14:textId="77777777" w:rsidR="004A1E42" w:rsidRPr="00393430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393430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130,</w:t>
            </w:r>
            <w:r w:rsidRPr="00EE5E87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C65C2" w14:textId="77777777" w:rsidR="004A1E42" w:rsidRPr="00EE5E87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E5E87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118,6</w:t>
            </w:r>
          </w:p>
        </w:tc>
      </w:tr>
    </w:tbl>
    <w:p w14:paraId="54813843" w14:textId="77777777" w:rsidR="004A1E42" w:rsidRDefault="004A1E42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305B241A" w14:textId="77777777" w:rsidR="004A1E42" w:rsidRDefault="004A1E42" w:rsidP="004A1E42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4252"/>
      </w:tblGrid>
      <w:tr w:rsidR="004A1E42" w:rsidRPr="000E28E2" w14:paraId="3ED5665E" w14:textId="77777777" w:rsidTr="00617742">
        <w:trPr>
          <w:trHeight w:val="2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B696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5D7ABA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Měsíční splátka H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Ú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jistin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s 80% LTV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HÚ 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na 30 let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 úrok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2,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9 % </w:t>
            </w:r>
            <w:proofErr w:type="spellStart"/>
            <w:proofErr w:type="gramStart"/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p.a</w:t>
            </w:r>
            <w:proofErr w:type="spellEnd"/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39EA10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Měsíční splátka H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Ú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jistina 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 90% LTV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HÚ 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na 30 let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</w:t>
            </w:r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úrok 2,69 % </w:t>
            </w:r>
            <w:proofErr w:type="spellStart"/>
            <w:proofErr w:type="gramStart"/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p.a</w:t>
            </w:r>
            <w:proofErr w:type="spellEnd"/>
            <w:r w:rsidRPr="00143C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4A1E42" w:rsidRPr="000E28E2" w14:paraId="1D61A420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F60C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1FF24A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19 690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9EE91B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23 351 Kč</w:t>
            </w:r>
          </w:p>
        </w:tc>
      </w:tr>
      <w:tr w:rsidR="004A1E42" w:rsidRPr="000E28E2" w14:paraId="611D53AE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2801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Středočeský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259A0A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12 406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9325C9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14 712 Kč</w:t>
            </w:r>
          </w:p>
        </w:tc>
      </w:tr>
      <w:tr w:rsidR="004A1E42" w:rsidRPr="000E28E2" w14:paraId="5E763A15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14E0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Jihočeský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CDA6FA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9 496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8B70E0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11 260 Kč</w:t>
            </w:r>
          </w:p>
        </w:tc>
      </w:tr>
      <w:tr w:rsidR="004A1E42" w:rsidRPr="000E28E2" w14:paraId="1C405393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2971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Plzeňský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05D0E2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10 479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2B3941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12 427 Kč</w:t>
            </w:r>
          </w:p>
        </w:tc>
      </w:tr>
      <w:tr w:rsidR="004A1E42" w:rsidRPr="000E28E2" w14:paraId="2DC55175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E386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Karlovarský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6F8391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6 446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171D21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7 643 Kč</w:t>
            </w:r>
          </w:p>
        </w:tc>
      </w:tr>
      <w:tr w:rsidR="004A1E42" w:rsidRPr="000E28E2" w14:paraId="1DCA002D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C083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Ústecký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300E40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4 981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9F6A9E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5 906 Kč</w:t>
            </w:r>
          </w:p>
        </w:tc>
      </w:tr>
      <w:tr w:rsidR="004A1E42" w:rsidRPr="000E28E2" w14:paraId="5258400A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75FB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Liberecký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3C0625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9 296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C4A770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11 023 Kč</w:t>
            </w:r>
          </w:p>
        </w:tc>
      </w:tr>
      <w:tr w:rsidR="004A1E42" w:rsidRPr="000E28E2" w14:paraId="54E57C7E" w14:textId="77777777" w:rsidTr="00617742">
        <w:trPr>
          <w:trHeight w:val="213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9CFF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Královéhradecký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9CA28E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10 780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14D2BD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12 784 Kč</w:t>
            </w:r>
          </w:p>
        </w:tc>
      </w:tr>
      <w:tr w:rsidR="004A1E42" w:rsidRPr="000E28E2" w14:paraId="649AF1B8" w14:textId="77777777" w:rsidTr="00617742">
        <w:trPr>
          <w:trHeight w:val="249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D3D4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Pardubický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FC2EA0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10 038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959C52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11 903 Kč</w:t>
            </w:r>
          </w:p>
        </w:tc>
      </w:tr>
      <w:tr w:rsidR="004A1E42" w:rsidRPr="000E28E2" w14:paraId="37590170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0A78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Vysočina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F66347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8 372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4B71C9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9 928 Kč</w:t>
            </w:r>
          </w:p>
        </w:tc>
      </w:tr>
      <w:tr w:rsidR="004A1E42" w:rsidRPr="000E28E2" w14:paraId="63D1B847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0239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Jihomoravský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F72B0F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15 195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3BBD15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18 020 Kč</w:t>
            </w:r>
          </w:p>
        </w:tc>
      </w:tr>
      <w:tr w:rsidR="004A1E42" w:rsidRPr="000E28E2" w14:paraId="7AD8A399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59F9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Olomoucký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63B205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10 097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B160BA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11 975 Kč</w:t>
            </w:r>
          </w:p>
        </w:tc>
      </w:tr>
      <w:tr w:rsidR="004A1E42" w:rsidRPr="000E28E2" w14:paraId="2C820A63" w14:textId="77777777" w:rsidTr="0061774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113A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Zlínský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E6C698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8 553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5D9DF9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10 142 Kč</w:t>
            </w:r>
          </w:p>
        </w:tc>
      </w:tr>
      <w:tr w:rsidR="004A1E42" w:rsidRPr="000E28E2" w14:paraId="65B86C6C" w14:textId="77777777" w:rsidTr="00617742">
        <w:trPr>
          <w:trHeight w:val="238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42E5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Moravskoslezský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74173E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6 446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AC8D60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sz w:val="20"/>
                <w:szCs w:val="20"/>
              </w:rPr>
              <w:t>7 643 Kč</w:t>
            </w:r>
          </w:p>
        </w:tc>
      </w:tr>
      <w:tr w:rsidR="004A1E42" w:rsidRPr="000E28E2" w14:paraId="67C39837" w14:textId="77777777" w:rsidTr="00617742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F30" w14:textId="77777777" w:rsidR="004A1E42" w:rsidRPr="00143C3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PRŮMĚR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FECA1D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14 813 Kč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9CA71B" w14:textId="77777777" w:rsidR="004A1E42" w:rsidRPr="00143C3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143C31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17 568 Kč</w:t>
            </w:r>
          </w:p>
        </w:tc>
      </w:tr>
    </w:tbl>
    <w:p w14:paraId="4B8E44AA" w14:textId="77777777" w:rsidR="004A1E42" w:rsidRDefault="004A1E42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34845BF4" w14:textId="77777777" w:rsidR="004A1E42" w:rsidRDefault="004A1E42" w:rsidP="004A1E42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645D62F6" w14:textId="77777777" w:rsidR="004A1E42" w:rsidRPr="0005693D" w:rsidRDefault="004A1E42" w:rsidP="004A1E42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FA3AE1">
        <w:rPr>
          <w:rFonts w:asciiTheme="minorHAnsi" w:eastAsia="Times New Roman" w:hAnsiTheme="minorHAnsi" w:cstheme="minorHAnsi"/>
          <w:b/>
          <w:bCs/>
          <w:color w:val="000000"/>
        </w:rPr>
        <w:t>Za jak dlouho Češi naspoří na vlastní byt?</w:t>
      </w: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Částky jsou uvedené za měsíc.</w:t>
      </w: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</w:tblGrid>
      <w:tr w:rsidR="004A1E42" w:rsidRPr="00FA3AE1" w14:paraId="2C52108F" w14:textId="77777777" w:rsidTr="00617742">
        <w:trPr>
          <w:trHeight w:val="16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DAA515B" w14:textId="77777777" w:rsidR="004A1E42" w:rsidRPr="00FA3AE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3AE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Mzda </w:t>
            </w:r>
            <w:r w:rsidRPr="000E28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–</w:t>
            </w:r>
            <w:r w:rsidRPr="00FA3AE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čistá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FFFB22" w14:textId="77777777" w:rsidR="004A1E42" w:rsidRPr="00FA3AE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A3A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29 600 Kč</w:t>
            </w:r>
          </w:p>
        </w:tc>
      </w:tr>
      <w:tr w:rsidR="004A1E42" w:rsidRPr="00FA3AE1" w14:paraId="28EB9C8B" w14:textId="77777777" w:rsidTr="00617742">
        <w:trPr>
          <w:trHeight w:val="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352032E" w14:textId="77777777" w:rsidR="004A1E42" w:rsidRPr="00FA3AE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28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Náklady na život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C50F59E" w14:textId="77777777" w:rsidR="004A1E42" w:rsidRPr="00FA3AE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A3A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10 </w:t>
            </w:r>
            <w:r w:rsidRPr="000E28E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  <w:r w:rsidRPr="00FA3A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 Kč</w:t>
            </w:r>
          </w:p>
        </w:tc>
      </w:tr>
      <w:tr w:rsidR="004A1E42" w:rsidRPr="00FA3AE1" w14:paraId="494673BE" w14:textId="77777777" w:rsidTr="00617742">
        <w:trPr>
          <w:trHeight w:val="8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1E15AC8" w14:textId="77777777" w:rsidR="004A1E42" w:rsidRPr="00FA3AE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3AE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Nájemné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D64A623" w14:textId="77777777" w:rsidR="004A1E42" w:rsidRPr="00FA3AE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A3A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  <w:r w:rsidRPr="000E28E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Pr="00FA3A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</w:t>
            </w:r>
            <w:r w:rsidRPr="00FA3A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 Kč</w:t>
            </w:r>
          </w:p>
        </w:tc>
      </w:tr>
      <w:tr w:rsidR="004A1E42" w:rsidRPr="00FA3AE1" w14:paraId="2673B9F4" w14:textId="77777777" w:rsidTr="00617742">
        <w:trPr>
          <w:trHeight w:val="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ED31093" w14:textId="77777777" w:rsidR="004A1E42" w:rsidRPr="00FA3AE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3AE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Zbývá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22F94FE" w14:textId="77777777" w:rsidR="004A1E42" w:rsidRPr="00FA3AE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7 2</w:t>
            </w:r>
            <w:r w:rsidRPr="000E28E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Pr="00FA3AE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 Kč</w:t>
            </w:r>
          </w:p>
        </w:tc>
      </w:tr>
      <w:tr w:rsidR="004A1E42" w:rsidRPr="00FA3AE1" w14:paraId="4BBD3418" w14:textId="77777777" w:rsidTr="00617742">
        <w:trPr>
          <w:trHeight w:val="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0B18BD9" w14:textId="77777777" w:rsidR="004A1E42" w:rsidRPr="00FA3AE1" w:rsidRDefault="004A1E42" w:rsidP="0061774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0E28E2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NA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NEMOVITOST</w:t>
            </w:r>
            <w:r w:rsidRPr="000E28E2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 NAŠETŘÍ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4EE53C" w14:textId="77777777" w:rsidR="004A1E42" w:rsidRPr="00FA3AE1" w:rsidRDefault="004A1E42" w:rsidP="0061774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667,5</w:t>
            </w:r>
            <w:r w:rsidRPr="000E28E2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 měsíců = 5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5</w:t>
            </w:r>
            <w:r w:rsidRPr="000E28E2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>6</w:t>
            </w:r>
            <w:r w:rsidRPr="000E28E2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szCs w:val="20"/>
              </w:rPr>
              <w:t xml:space="preserve"> let</w:t>
            </w:r>
          </w:p>
        </w:tc>
      </w:tr>
    </w:tbl>
    <w:p w14:paraId="00E1754B" w14:textId="77777777" w:rsidR="004A1E42" w:rsidRPr="009B701B" w:rsidRDefault="004A1E42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sectPr w:rsidR="004A1E42" w:rsidRPr="009B701B" w:rsidSect="00037604">
      <w:footerReference w:type="default" r:id="rId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26DD" w16cex:dateUtc="2021-05-18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833345" w16cid:durableId="244E26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AE20" w14:textId="77777777" w:rsidR="00A67BA1" w:rsidRDefault="00A67BA1" w:rsidP="00A9010F">
      <w:pPr>
        <w:spacing w:line="240" w:lineRule="auto"/>
      </w:pPr>
      <w:r>
        <w:separator/>
      </w:r>
    </w:p>
  </w:endnote>
  <w:endnote w:type="continuationSeparator" w:id="0">
    <w:p w14:paraId="2E4AC7E5" w14:textId="77777777" w:rsidR="00A67BA1" w:rsidRDefault="00A67BA1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7777777" w:rsidR="00C31251" w:rsidRPr="00F12368" w:rsidRDefault="00C31251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  <w:lang w:val="en-US"/>
          </w:rPr>
        </w:pPr>
        <w:r w:rsidRPr="00F12368">
          <w:rPr>
            <w:bCs/>
            <w:color w:val="00ACEC"/>
            <w:sz w:val="20"/>
            <w:szCs w:val="20"/>
            <w:lang w:val="en-US"/>
          </w:rPr>
          <w:t xml:space="preserve">Šárka Nevoralová </w:t>
        </w:r>
        <w:r w:rsidRPr="00F12368">
          <w:rPr>
            <w:color w:val="00ACEC"/>
            <w:sz w:val="20"/>
            <w:szCs w:val="20"/>
            <w:lang w:val="en-US"/>
          </w:rPr>
          <w:t xml:space="preserve">–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tisková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mluvčí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| Modrá pyramida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stavební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spořitelna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a.s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.,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Bělehradská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128,120 21 Praha 2</w:t>
        </w:r>
      </w:p>
      <w:p w14:paraId="0B8C90A6" w14:textId="77777777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F12368">
          <w:rPr>
            <w:color w:val="00ACEC"/>
            <w:sz w:val="20"/>
            <w:szCs w:val="20"/>
            <w:lang w:val="en-US"/>
          </w:rPr>
          <w:t xml:space="preserve">Tel.: +420 955 523 319, +420 734 236 325 | E-mail: sarka.nevoralova@mpss.cz | </w:t>
        </w:r>
        <w:r w:rsidRPr="00F12368">
          <w:rPr>
            <w:bCs/>
            <w:color w:val="00ACEC"/>
            <w:sz w:val="20"/>
            <w:szCs w:val="20"/>
            <w:lang w:val="en-US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582A" w14:textId="77777777" w:rsidR="00A67BA1" w:rsidRDefault="00A67BA1" w:rsidP="00A9010F">
      <w:pPr>
        <w:spacing w:line="240" w:lineRule="auto"/>
      </w:pPr>
      <w:r>
        <w:separator/>
      </w:r>
    </w:p>
  </w:footnote>
  <w:footnote w:type="continuationSeparator" w:id="0">
    <w:p w14:paraId="07120706" w14:textId="77777777" w:rsidR="00A67BA1" w:rsidRDefault="00A67BA1" w:rsidP="00A90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8DF"/>
    <w:multiLevelType w:val="hybridMultilevel"/>
    <w:tmpl w:val="27483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9"/>
    <w:rsid w:val="00002464"/>
    <w:rsid w:val="00010392"/>
    <w:rsid w:val="000209F2"/>
    <w:rsid w:val="00027EE0"/>
    <w:rsid w:val="00033DB5"/>
    <w:rsid w:val="000353D4"/>
    <w:rsid w:val="00036B7E"/>
    <w:rsid w:val="00037604"/>
    <w:rsid w:val="00040592"/>
    <w:rsid w:val="0004508F"/>
    <w:rsid w:val="000461FD"/>
    <w:rsid w:val="00054401"/>
    <w:rsid w:val="0005693D"/>
    <w:rsid w:val="00060ECE"/>
    <w:rsid w:val="0006464B"/>
    <w:rsid w:val="0006550E"/>
    <w:rsid w:val="00067A8A"/>
    <w:rsid w:val="000719E9"/>
    <w:rsid w:val="00073539"/>
    <w:rsid w:val="0009589E"/>
    <w:rsid w:val="00095E9D"/>
    <w:rsid w:val="000A1CF7"/>
    <w:rsid w:val="000B74C2"/>
    <w:rsid w:val="000C1F08"/>
    <w:rsid w:val="000C235D"/>
    <w:rsid w:val="000C49B2"/>
    <w:rsid w:val="000C771B"/>
    <w:rsid w:val="000C7E8E"/>
    <w:rsid w:val="000D2355"/>
    <w:rsid w:val="000D6124"/>
    <w:rsid w:val="000E28E2"/>
    <w:rsid w:val="001111CD"/>
    <w:rsid w:val="00113CE1"/>
    <w:rsid w:val="00117A3E"/>
    <w:rsid w:val="001201DE"/>
    <w:rsid w:val="00132EA2"/>
    <w:rsid w:val="001456DA"/>
    <w:rsid w:val="00150D4B"/>
    <w:rsid w:val="001517CC"/>
    <w:rsid w:val="00153B0C"/>
    <w:rsid w:val="00154091"/>
    <w:rsid w:val="00163998"/>
    <w:rsid w:val="001648F2"/>
    <w:rsid w:val="001908FC"/>
    <w:rsid w:val="001A6795"/>
    <w:rsid w:val="001A7C70"/>
    <w:rsid w:val="001B67DC"/>
    <w:rsid w:val="001C6A78"/>
    <w:rsid w:val="001C7CCE"/>
    <w:rsid w:val="001E6447"/>
    <w:rsid w:val="001F313F"/>
    <w:rsid w:val="0020451D"/>
    <w:rsid w:val="002143CB"/>
    <w:rsid w:val="002143FB"/>
    <w:rsid w:val="002168C4"/>
    <w:rsid w:val="002219EF"/>
    <w:rsid w:val="002256CC"/>
    <w:rsid w:val="002425BE"/>
    <w:rsid w:val="00262BB6"/>
    <w:rsid w:val="0026396D"/>
    <w:rsid w:val="0026751C"/>
    <w:rsid w:val="00277F23"/>
    <w:rsid w:val="002820BB"/>
    <w:rsid w:val="00283647"/>
    <w:rsid w:val="00284FED"/>
    <w:rsid w:val="00287EE2"/>
    <w:rsid w:val="00290F06"/>
    <w:rsid w:val="0029199D"/>
    <w:rsid w:val="002957AB"/>
    <w:rsid w:val="002A13B9"/>
    <w:rsid w:val="002B1C69"/>
    <w:rsid w:val="002E13F9"/>
    <w:rsid w:val="002F5AB0"/>
    <w:rsid w:val="0030062B"/>
    <w:rsid w:val="003023E9"/>
    <w:rsid w:val="00303119"/>
    <w:rsid w:val="003047C9"/>
    <w:rsid w:val="0030578D"/>
    <w:rsid w:val="00306290"/>
    <w:rsid w:val="00307E1A"/>
    <w:rsid w:val="00322581"/>
    <w:rsid w:val="00331C7E"/>
    <w:rsid w:val="00334ED2"/>
    <w:rsid w:val="003358E3"/>
    <w:rsid w:val="00336517"/>
    <w:rsid w:val="00340310"/>
    <w:rsid w:val="00342F3E"/>
    <w:rsid w:val="0034309D"/>
    <w:rsid w:val="003455B3"/>
    <w:rsid w:val="00347836"/>
    <w:rsid w:val="003522CD"/>
    <w:rsid w:val="00356825"/>
    <w:rsid w:val="00374D1A"/>
    <w:rsid w:val="00381C64"/>
    <w:rsid w:val="00382765"/>
    <w:rsid w:val="00386DB9"/>
    <w:rsid w:val="003A2756"/>
    <w:rsid w:val="003B09F3"/>
    <w:rsid w:val="003B1775"/>
    <w:rsid w:val="003B6673"/>
    <w:rsid w:val="003C0034"/>
    <w:rsid w:val="003C0798"/>
    <w:rsid w:val="003C4760"/>
    <w:rsid w:val="003C75CA"/>
    <w:rsid w:val="003E47F4"/>
    <w:rsid w:val="003E6B0B"/>
    <w:rsid w:val="003E7101"/>
    <w:rsid w:val="003F4EC8"/>
    <w:rsid w:val="003F51C7"/>
    <w:rsid w:val="003F5313"/>
    <w:rsid w:val="0040715C"/>
    <w:rsid w:val="00407F03"/>
    <w:rsid w:val="00410AE1"/>
    <w:rsid w:val="00415BB1"/>
    <w:rsid w:val="0041729C"/>
    <w:rsid w:val="00420A23"/>
    <w:rsid w:val="00432ECB"/>
    <w:rsid w:val="00433993"/>
    <w:rsid w:val="00441D4F"/>
    <w:rsid w:val="00444230"/>
    <w:rsid w:val="004524BD"/>
    <w:rsid w:val="004538FE"/>
    <w:rsid w:val="004763ED"/>
    <w:rsid w:val="00490066"/>
    <w:rsid w:val="004A1E42"/>
    <w:rsid w:val="004B0AC5"/>
    <w:rsid w:val="004B6F64"/>
    <w:rsid w:val="004C1882"/>
    <w:rsid w:val="004C44C4"/>
    <w:rsid w:val="004D4FC3"/>
    <w:rsid w:val="004E7C45"/>
    <w:rsid w:val="00506C8E"/>
    <w:rsid w:val="00507EBE"/>
    <w:rsid w:val="00510A84"/>
    <w:rsid w:val="005176C4"/>
    <w:rsid w:val="00524307"/>
    <w:rsid w:val="00535652"/>
    <w:rsid w:val="00542799"/>
    <w:rsid w:val="00543C1A"/>
    <w:rsid w:val="00545BD0"/>
    <w:rsid w:val="00546615"/>
    <w:rsid w:val="005520A2"/>
    <w:rsid w:val="00555272"/>
    <w:rsid w:val="00555779"/>
    <w:rsid w:val="005641DF"/>
    <w:rsid w:val="00564ACE"/>
    <w:rsid w:val="00594B67"/>
    <w:rsid w:val="005A18E3"/>
    <w:rsid w:val="005A2FC6"/>
    <w:rsid w:val="005A5917"/>
    <w:rsid w:val="005B2DCB"/>
    <w:rsid w:val="005B5B3B"/>
    <w:rsid w:val="005B65D4"/>
    <w:rsid w:val="005D2C28"/>
    <w:rsid w:val="005D61A0"/>
    <w:rsid w:val="005D6BDF"/>
    <w:rsid w:val="005E38AC"/>
    <w:rsid w:val="005F234E"/>
    <w:rsid w:val="00601039"/>
    <w:rsid w:val="00616291"/>
    <w:rsid w:val="006165B5"/>
    <w:rsid w:val="00622145"/>
    <w:rsid w:val="006318D2"/>
    <w:rsid w:val="006338C5"/>
    <w:rsid w:val="00634923"/>
    <w:rsid w:val="006355E1"/>
    <w:rsid w:val="00635AEF"/>
    <w:rsid w:val="0063603F"/>
    <w:rsid w:val="00636A90"/>
    <w:rsid w:val="006430CE"/>
    <w:rsid w:val="006431C8"/>
    <w:rsid w:val="00643D6D"/>
    <w:rsid w:val="006479DD"/>
    <w:rsid w:val="006544DD"/>
    <w:rsid w:val="00656B24"/>
    <w:rsid w:val="0066580A"/>
    <w:rsid w:val="00671811"/>
    <w:rsid w:val="006A5BBE"/>
    <w:rsid w:val="006B10ED"/>
    <w:rsid w:val="006B4699"/>
    <w:rsid w:val="006B5037"/>
    <w:rsid w:val="006B7A76"/>
    <w:rsid w:val="006C01BF"/>
    <w:rsid w:val="006D3EEC"/>
    <w:rsid w:val="006D46E6"/>
    <w:rsid w:val="006E2AE6"/>
    <w:rsid w:val="006F2D01"/>
    <w:rsid w:val="00704E1F"/>
    <w:rsid w:val="00726DCB"/>
    <w:rsid w:val="00727803"/>
    <w:rsid w:val="007338DC"/>
    <w:rsid w:val="00735078"/>
    <w:rsid w:val="00742C27"/>
    <w:rsid w:val="00743DDD"/>
    <w:rsid w:val="00744E3E"/>
    <w:rsid w:val="00753343"/>
    <w:rsid w:val="007815D9"/>
    <w:rsid w:val="00782701"/>
    <w:rsid w:val="00782C72"/>
    <w:rsid w:val="00782F77"/>
    <w:rsid w:val="00794DCB"/>
    <w:rsid w:val="007A5D41"/>
    <w:rsid w:val="007A6846"/>
    <w:rsid w:val="007A6CF2"/>
    <w:rsid w:val="007B2425"/>
    <w:rsid w:val="007B259A"/>
    <w:rsid w:val="007B7305"/>
    <w:rsid w:val="007C151D"/>
    <w:rsid w:val="007C3C42"/>
    <w:rsid w:val="007C5749"/>
    <w:rsid w:val="007C6F35"/>
    <w:rsid w:val="007C74D9"/>
    <w:rsid w:val="007D74DE"/>
    <w:rsid w:val="007E54B1"/>
    <w:rsid w:val="007E5EDF"/>
    <w:rsid w:val="007E7BDD"/>
    <w:rsid w:val="008018D6"/>
    <w:rsid w:val="008104F4"/>
    <w:rsid w:val="0081202F"/>
    <w:rsid w:val="00816A01"/>
    <w:rsid w:val="00817F4A"/>
    <w:rsid w:val="00832A86"/>
    <w:rsid w:val="00842780"/>
    <w:rsid w:val="00844CD4"/>
    <w:rsid w:val="008612D1"/>
    <w:rsid w:val="00863DF5"/>
    <w:rsid w:val="008640F4"/>
    <w:rsid w:val="008807CA"/>
    <w:rsid w:val="00883C80"/>
    <w:rsid w:val="008853D0"/>
    <w:rsid w:val="0088675E"/>
    <w:rsid w:val="00897748"/>
    <w:rsid w:val="008A4611"/>
    <w:rsid w:val="008A51EF"/>
    <w:rsid w:val="008B2C65"/>
    <w:rsid w:val="008C477D"/>
    <w:rsid w:val="008C55DC"/>
    <w:rsid w:val="008C5CC8"/>
    <w:rsid w:val="008C666B"/>
    <w:rsid w:val="008D08D2"/>
    <w:rsid w:val="008E17D2"/>
    <w:rsid w:val="008F1339"/>
    <w:rsid w:val="00900598"/>
    <w:rsid w:val="00900CE6"/>
    <w:rsid w:val="00914451"/>
    <w:rsid w:val="0092715F"/>
    <w:rsid w:val="0093624D"/>
    <w:rsid w:val="00944740"/>
    <w:rsid w:val="00947DA8"/>
    <w:rsid w:val="0097232F"/>
    <w:rsid w:val="00973C8A"/>
    <w:rsid w:val="009867EF"/>
    <w:rsid w:val="00991206"/>
    <w:rsid w:val="00994CFC"/>
    <w:rsid w:val="009A1E0C"/>
    <w:rsid w:val="009A27DB"/>
    <w:rsid w:val="009A427D"/>
    <w:rsid w:val="009B55FB"/>
    <w:rsid w:val="009B701B"/>
    <w:rsid w:val="009C1EF0"/>
    <w:rsid w:val="009C36BE"/>
    <w:rsid w:val="009C7148"/>
    <w:rsid w:val="009D7A9F"/>
    <w:rsid w:val="009F132A"/>
    <w:rsid w:val="009F53FA"/>
    <w:rsid w:val="009F6E46"/>
    <w:rsid w:val="00A0338F"/>
    <w:rsid w:val="00A0379F"/>
    <w:rsid w:val="00A1232F"/>
    <w:rsid w:val="00A13774"/>
    <w:rsid w:val="00A157BA"/>
    <w:rsid w:val="00A33304"/>
    <w:rsid w:val="00A3462B"/>
    <w:rsid w:val="00A35DB8"/>
    <w:rsid w:val="00A41A52"/>
    <w:rsid w:val="00A57C3A"/>
    <w:rsid w:val="00A63B7D"/>
    <w:rsid w:val="00A67BA1"/>
    <w:rsid w:val="00A71143"/>
    <w:rsid w:val="00A76325"/>
    <w:rsid w:val="00A8555B"/>
    <w:rsid w:val="00A9010F"/>
    <w:rsid w:val="00A954A6"/>
    <w:rsid w:val="00A95EA4"/>
    <w:rsid w:val="00A96504"/>
    <w:rsid w:val="00AB5271"/>
    <w:rsid w:val="00AB7045"/>
    <w:rsid w:val="00AC51B3"/>
    <w:rsid w:val="00AD3B59"/>
    <w:rsid w:val="00AD5EC0"/>
    <w:rsid w:val="00AD6B22"/>
    <w:rsid w:val="00AE3600"/>
    <w:rsid w:val="00AF7E8F"/>
    <w:rsid w:val="00AF7F12"/>
    <w:rsid w:val="00B00D3B"/>
    <w:rsid w:val="00B06DEB"/>
    <w:rsid w:val="00B074AD"/>
    <w:rsid w:val="00B210BB"/>
    <w:rsid w:val="00B25580"/>
    <w:rsid w:val="00B3554D"/>
    <w:rsid w:val="00B45285"/>
    <w:rsid w:val="00B4544D"/>
    <w:rsid w:val="00B45CB2"/>
    <w:rsid w:val="00B509E0"/>
    <w:rsid w:val="00B568B4"/>
    <w:rsid w:val="00B57192"/>
    <w:rsid w:val="00B62A3D"/>
    <w:rsid w:val="00B64447"/>
    <w:rsid w:val="00B650CA"/>
    <w:rsid w:val="00B774A9"/>
    <w:rsid w:val="00B81084"/>
    <w:rsid w:val="00B828D1"/>
    <w:rsid w:val="00B828E4"/>
    <w:rsid w:val="00B96735"/>
    <w:rsid w:val="00BC7BE9"/>
    <w:rsid w:val="00BD02A6"/>
    <w:rsid w:val="00BD542E"/>
    <w:rsid w:val="00BD5442"/>
    <w:rsid w:val="00BE0C80"/>
    <w:rsid w:val="00BF4980"/>
    <w:rsid w:val="00C02492"/>
    <w:rsid w:val="00C10ED8"/>
    <w:rsid w:val="00C11797"/>
    <w:rsid w:val="00C26F3B"/>
    <w:rsid w:val="00C31069"/>
    <w:rsid w:val="00C31251"/>
    <w:rsid w:val="00C326A4"/>
    <w:rsid w:val="00C351DC"/>
    <w:rsid w:val="00C408F5"/>
    <w:rsid w:val="00C42B15"/>
    <w:rsid w:val="00C4575F"/>
    <w:rsid w:val="00C46957"/>
    <w:rsid w:val="00C53334"/>
    <w:rsid w:val="00C60DEE"/>
    <w:rsid w:val="00C668D8"/>
    <w:rsid w:val="00C751B8"/>
    <w:rsid w:val="00C80183"/>
    <w:rsid w:val="00C95CE5"/>
    <w:rsid w:val="00CD45B4"/>
    <w:rsid w:val="00CE330A"/>
    <w:rsid w:val="00CE4260"/>
    <w:rsid w:val="00D06CAD"/>
    <w:rsid w:val="00D14F97"/>
    <w:rsid w:val="00D15C51"/>
    <w:rsid w:val="00D165E4"/>
    <w:rsid w:val="00D25C79"/>
    <w:rsid w:val="00D40BC4"/>
    <w:rsid w:val="00D44223"/>
    <w:rsid w:val="00D55BFC"/>
    <w:rsid w:val="00D626BE"/>
    <w:rsid w:val="00D6568B"/>
    <w:rsid w:val="00D71C25"/>
    <w:rsid w:val="00D72BD2"/>
    <w:rsid w:val="00D731A2"/>
    <w:rsid w:val="00D76D0D"/>
    <w:rsid w:val="00D866F6"/>
    <w:rsid w:val="00D973DC"/>
    <w:rsid w:val="00DB1DA6"/>
    <w:rsid w:val="00DB1F79"/>
    <w:rsid w:val="00DB59A1"/>
    <w:rsid w:val="00DC1E06"/>
    <w:rsid w:val="00DC5C0B"/>
    <w:rsid w:val="00DC6343"/>
    <w:rsid w:val="00DC7BA4"/>
    <w:rsid w:val="00DE5802"/>
    <w:rsid w:val="00DF6CC3"/>
    <w:rsid w:val="00E05F62"/>
    <w:rsid w:val="00E11D8A"/>
    <w:rsid w:val="00E17E3F"/>
    <w:rsid w:val="00E213C0"/>
    <w:rsid w:val="00E27B9C"/>
    <w:rsid w:val="00E33543"/>
    <w:rsid w:val="00E3652B"/>
    <w:rsid w:val="00E40C90"/>
    <w:rsid w:val="00E42A4A"/>
    <w:rsid w:val="00E43CBC"/>
    <w:rsid w:val="00E44481"/>
    <w:rsid w:val="00E44BEA"/>
    <w:rsid w:val="00E51D70"/>
    <w:rsid w:val="00E525ED"/>
    <w:rsid w:val="00E532F9"/>
    <w:rsid w:val="00E660B6"/>
    <w:rsid w:val="00E66578"/>
    <w:rsid w:val="00E8164E"/>
    <w:rsid w:val="00E878B8"/>
    <w:rsid w:val="00E902E2"/>
    <w:rsid w:val="00E91FC8"/>
    <w:rsid w:val="00EA29A7"/>
    <w:rsid w:val="00EC275B"/>
    <w:rsid w:val="00EC37E6"/>
    <w:rsid w:val="00ED3A65"/>
    <w:rsid w:val="00EE1280"/>
    <w:rsid w:val="00EE5E87"/>
    <w:rsid w:val="00EF1957"/>
    <w:rsid w:val="00F0429F"/>
    <w:rsid w:val="00F05EB4"/>
    <w:rsid w:val="00F12368"/>
    <w:rsid w:val="00F1657C"/>
    <w:rsid w:val="00F17152"/>
    <w:rsid w:val="00F22FC4"/>
    <w:rsid w:val="00F23794"/>
    <w:rsid w:val="00F31F4C"/>
    <w:rsid w:val="00F439FA"/>
    <w:rsid w:val="00F4463A"/>
    <w:rsid w:val="00F70B09"/>
    <w:rsid w:val="00F75E68"/>
    <w:rsid w:val="00F80131"/>
    <w:rsid w:val="00F818B5"/>
    <w:rsid w:val="00F8447E"/>
    <w:rsid w:val="00F97008"/>
    <w:rsid w:val="00FA25CA"/>
    <w:rsid w:val="00FA3AE1"/>
    <w:rsid w:val="00FA5475"/>
    <w:rsid w:val="00FB7DC4"/>
    <w:rsid w:val="00FC104C"/>
    <w:rsid w:val="00FC1FCC"/>
    <w:rsid w:val="00FC3BFA"/>
    <w:rsid w:val="00FD0DC5"/>
    <w:rsid w:val="00FD6174"/>
    <w:rsid w:val="00FE625A"/>
    <w:rsid w:val="00FF09E3"/>
    <w:rsid w:val="00FF1F00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0491-B3A8-41DE-A483-4F584881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</TotalTime>
  <Pages>3</Pages>
  <Words>782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Šárka Nevoralová</cp:lastModifiedBy>
  <cp:revision>2</cp:revision>
  <cp:lastPrinted>2021-06-30T10:32:00Z</cp:lastPrinted>
  <dcterms:created xsi:type="dcterms:W3CDTF">2021-07-20T07:42:00Z</dcterms:created>
  <dcterms:modified xsi:type="dcterms:W3CDTF">2021-07-20T07:42:00Z</dcterms:modified>
</cp:coreProperties>
</file>